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7076"/>
        <w:gridCol w:w="1996"/>
      </w:tblGrid>
      <w:tr w:rsidR="00AA0E84" w:rsidRPr="00AA0E84" w:rsidTr="00AA0E84">
        <w:trPr>
          <w:tblCellSpacing w:w="0" w:type="dxa"/>
        </w:trPr>
        <w:tc>
          <w:tcPr>
            <w:tcW w:w="10500" w:type="dxa"/>
            <w:vAlign w:val="center"/>
            <w:hideMark/>
          </w:tcPr>
          <w:p w:rsidR="00AA0E84" w:rsidRPr="00AA0E84" w:rsidRDefault="00AA0E84" w:rsidP="00AA0E84">
            <w:pPr>
              <w:spacing w:before="225" w:after="15" w:line="240" w:lineRule="auto"/>
              <w:ind w:left="1050" w:right="2250"/>
              <w:jc w:val="both"/>
              <w:rPr>
                <w:rFonts w:ascii="Arial" w:eastAsia="Times New Roman" w:hAnsi="Arial" w:cs="Arial"/>
                <w:sz w:val="20"/>
                <w:szCs w:val="20"/>
              </w:rPr>
            </w:pPr>
            <w:r w:rsidRPr="00AA0E84">
              <w:rPr>
                <w:rFonts w:ascii="Arial" w:eastAsia="Times New Roman" w:hAnsi="Arial" w:cs="Arial"/>
                <w:sz w:val="18"/>
                <w:szCs w:val="18"/>
              </w:rPr>
              <w:t>Na osnovu članka 31. stavka 3. Zakona o komunalnom gospodarstvu (Narodne novine broj 26/03.- pročišćeni tekst; 82/04. i 110/04.) i članka 9. Statuta općine Brckovljani (Službeni glasnik općine Brckovljani broj 05/01.) Općinsko vijeće općine Brckovljani na 22. sjednici održanoj 14.12.2007. godine donijelo je</w:t>
            </w:r>
          </w:p>
        </w:tc>
        <w:tc>
          <w:tcPr>
            <w:tcW w:w="1100" w:type="pct"/>
            <w:vAlign w:val="center"/>
            <w:hideMark/>
          </w:tcPr>
          <w:p w:rsidR="00AA0E84" w:rsidRPr="00AA0E84" w:rsidRDefault="00AA0E84" w:rsidP="00AA0E84">
            <w:pPr>
              <w:spacing w:after="0" w:line="240" w:lineRule="auto"/>
              <w:rPr>
                <w:rFonts w:ascii="Times New Roman" w:eastAsia="Times New Roman" w:hAnsi="Times New Roman" w:cs="Times New Roman"/>
                <w:sz w:val="24"/>
                <w:szCs w:val="24"/>
              </w:rPr>
            </w:pPr>
          </w:p>
        </w:tc>
      </w:tr>
    </w:tbl>
    <w:p w:rsidR="00AA0E84" w:rsidRPr="00AA0E84" w:rsidRDefault="00AA0E84" w:rsidP="00AA0E84">
      <w:pPr>
        <w:spacing w:before="360" w:after="240" w:line="240" w:lineRule="atLeast"/>
        <w:jc w:val="center"/>
        <w:rPr>
          <w:rFonts w:ascii="Arial" w:eastAsia="Times New Roman" w:hAnsi="Arial" w:cs="Arial"/>
          <w:b/>
          <w:bCs/>
          <w:color w:val="000000"/>
          <w:sz w:val="20"/>
          <w:szCs w:val="20"/>
        </w:rPr>
      </w:pPr>
      <w:r w:rsidRPr="00AA0E84">
        <w:rPr>
          <w:rFonts w:ascii="Arial" w:eastAsia="Times New Roman" w:hAnsi="Arial" w:cs="Arial"/>
          <w:b/>
          <w:bCs/>
          <w:color w:val="000000"/>
          <w:sz w:val="24"/>
          <w:szCs w:val="24"/>
        </w:rPr>
        <w:t>ODLUKU </w:t>
      </w:r>
      <w:r w:rsidRPr="00AA0E84">
        <w:rPr>
          <w:rFonts w:ascii="Arial" w:eastAsia="Times New Roman" w:hAnsi="Arial" w:cs="Arial"/>
          <w:b/>
          <w:bCs/>
          <w:color w:val="000000"/>
          <w:sz w:val="24"/>
          <w:szCs w:val="24"/>
        </w:rPr>
        <w:br/>
        <w:t>o komunalnom doprinosu Općine Brckovljani</w:t>
      </w:r>
    </w:p>
    <w:p w:rsidR="00AA0E84" w:rsidRPr="00AA0E84" w:rsidRDefault="00AA0E84" w:rsidP="00AA0E84">
      <w:pPr>
        <w:spacing w:before="360" w:after="240" w:line="240" w:lineRule="atLeast"/>
        <w:ind w:left="1050" w:right="1050"/>
        <w:rPr>
          <w:rFonts w:ascii="Arial" w:eastAsia="Times New Roman" w:hAnsi="Arial" w:cs="Arial"/>
          <w:b/>
          <w:bCs/>
          <w:color w:val="000000"/>
          <w:sz w:val="20"/>
          <w:szCs w:val="20"/>
        </w:rPr>
      </w:pPr>
      <w:r w:rsidRPr="00AA0E84">
        <w:rPr>
          <w:rFonts w:ascii="Arial" w:eastAsia="Times New Roman" w:hAnsi="Arial" w:cs="Arial"/>
          <w:b/>
          <w:bCs/>
          <w:color w:val="000000"/>
          <w:sz w:val="20"/>
          <w:szCs w:val="20"/>
        </w:rPr>
        <w:t>I. OPĆE ODREDBE</w:t>
      </w:r>
    </w:p>
    <w:p w:rsidR="00AA0E84" w:rsidRPr="00AA0E84" w:rsidRDefault="00AA0E84" w:rsidP="00AA0E84">
      <w:pPr>
        <w:spacing w:before="240" w:after="120" w:line="240" w:lineRule="atLeast"/>
        <w:ind w:left="1050" w:right="1050"/>
        <w:jc w:val="center"/>
        <w:rPr>
          <w:rFonts w:ascii="Arial" w:eastAsia="Times New Roman" w:hAnsi="Arial" w:cs="Arial"/>
          <w:b/>
          <w:bCs/>
          <w:color w:val="000000"/>
          <w:sz w:val="20"/>
          <w:szCs w:val="20"/>
        </w:rPr>
      </w:pPr>
      <w:r w:rsidRPr="00AA0E84">
        <w:rPr>
          <w:rFonts w:ascii="Arial" w:eastAsia="Times New Roman" w:hAnsi="Arial" w:cs="Arial"/>
          <w:b/>
          <w:bCs/>
          <w:color w:val="000000"/>
          <w:sz w:val="18"/>
          <w:szCs w:val="18"/>
        </w:rPr>
        <w:t>Članak 1.</w:t>
      </w:r>
    </w:p>
    <w:p w:rsidR="00AA0E84" w:rsidRPr="00AA0E84" w:rsidRDefault="00AA0E84" w:rsidP="00AA0E84">
      <w:pPr>
        <w:spacing w:before="15" w:after="15" w:line="240" w:lineRule="auto"/>
        <w:ind w:left="105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t>Ovom Odlukom određuju se uvjeti i način utvrđivanja visine komunalnog doprinosa, te visina komunalnog doprinosa u Općini Brckovljani:</w:t>
      </w:r>
    </w:p>
    <w:p w:rsidR="00AA0E84" w:rsidRPr="00AA0E84" w:rsidRDefault="00AA0E84" w:rsidP="00AA0E84">
      <w:pPr>
        <w:spacing w:before="15" w:after="15" w:line="240" w:lineRule="auto"/>
        <w:ind w:left="1500" w:hanging="150"/>
        <w:jc w:val="both"/>
        <w:rPr>
          <w:rFonts w:ascii="Arial" w:eastAsia="Times New Roman" w:hAnsi="Arial" w:cs="Arial"/>
          <w:color w:val="000000"/>
          <w:sz w:val="20"/>
          <w:szCs w:val="20"/>
        </w:rPr>
      </w:pPr>
      <w:r w:rsidRPr="00AA0E84">
        <w:rPr>
          <w:rFonts w:ascii="Arial" w:eastAsia="Times New Roman" w:hAnsi="Arial" w:cs="Arial"/>
          <w:color w:val="000000"/>
          <w:sz w:val="20"/>
          <w:szCs w:val="20"/>
        </w:rPr>
        <w:t>- područja zona u Općini Brckovljani ovisno o pogodnosti položaja određenog područja,</w:t>
      </w:r>
    </w:p>
    <w:p w:rsidR="00AA0E84" w:rsidRPr="00AA0E84" w:rsidRDefault="00AA0E84" w:rsidP="00AA0E84">
      <w:pPr>
        <w:spacing w:before="15" w:after="15" w:line="240" w:lineRule="auto"/>
        <w:ind w:left="1500" w:hanging="150"/>
        <w:jc w:val="both"/>
        <w:rPr>
          <w:rFonts w:ascii="Arial" w:eastAsia="Times New Roman" w:hAnsi="Arial" w:cs="Arial"/>
          <w:color w:val="000000"/>
          <w:sz w:val="20"/>
          <w:szCs w:val="20"/>
        </w:rPr>
      </w:pPr>
      <w:r w:rsidRPr="00AA0E84">
        <w:rPr>
          <w:rFonts w:ascii="Arial" w:eastAsia="Times New Roman" w:hAnsi="Arial" w:cs="Arial"/>
          <w:color w:val="000000"/>
          <w:sz w:val="20"/>
          <w:szCs w:val="20"/>
        </w:rPr>
        <w:t>- jedinična vrijednost komunalnog doprinosa određena u kunama po m3 građevine za pojedine zone,</w:t>
      </w:r>
    </w:p>
    <w:p w:rsidR="00AA0E84" w:rsidRPr="00AA0E84" w:rsidRDefault="00AA0E84" w:rsidP="00AA0E84">
      <w:pPr>
        <w:spacing w:before="15" w:after="15" w:line="240" w:lineRule="auto"/>
        <w:ind w:left="1500" w:hanging="150"/>
        <w:jc w:val="both"/>
        <w:rPr>
          <w:rFonts w:ascii="Arial" w:eastAsia="Times New Roman" w:hAnsi="Arial" w:cs="Arial"/>
          <w:color w:val="000000"/>
          <w:sz w:val="20"/>
          <w:szCs w:val="20"/>
        </w:rPr>
      </w:pPr>
      <w:r w:rsidRPr="00AA0E84">
        <w:rPr>
          <w:rFonts w:ascii="Arial" w:eastAsia="Times New Roman" w:hAnsi="Arial" w:cs="Arial"/>
          <w:color w:val="000000"/>
          <w:sz w:val="20"/>
          <w:szCs w:val="20"/>
        </w:rPr>
        <w:t>- način i rokovi plaćanja komunalnog doprinosa,</w:t>
      </w:r>
    </w:p>
    <w:p w:rsidR="00AA0E84" w:rsidRPr="00AA0E84" w:rsidRDefault="00AA0E84" w:rsidP="00AA0E84">
      <w:pPr>
        <w:spacing w:before="15" w:after="15" w:line="240" w:lineRule="auto"/>
        <w:ind w:left="1500" w:hanging="150"/>
        <w:jc w:val="both"/>
        <w:rPr>
          <w:rFonts w:ascii="Arial" w:eastAsia="Times New Roman" w:hAnsi="Arial" w:cs="Arial"/>
          <w:color w:val="000000"/>
          <w:sz w:val="20"/>
          <w:szCs w:val="20"/>
        </w:rPr>
      </w:pPr>
      <w:r w:rsidRPr="00AA0E84">
        <w:rPr>
          <w:rFonts w:ascii="Arial" w:eastAsia="Times New Roman" w:hAnsi="Arial" w:cs="Arial"/>
          <w:color w:val="000000"/>
          <w:sz w:val="20"/>
          <w:szCs w:val="20"/>
        </w:rPr>
        <w:t>- opći uvjeti i razlozi zbog kojih se u pojedinačnim slučajevima može odobriti djelomično ili potpuno oslobađanje od plaćanja komunalnog doprinosa,</w:t>
      </w:r>
    </w:p>
    <w:p w:rsidR="00AA0E84" w:rsidRPr="00AA0E84" w:rsidRDefault="00AA0E84" w:rsidP="00AA0E84">
      <w:pPr>
        <w:spacing w:before="15" w:after="15" w:line="240" w:lineRule="auto"/>
        <w:ind w:left="1500" w:hanging="150"/>
        <w:jc w:val="both"/>
        <w:rPr>
          <w:rFonts w:ascii="Arial" w:eastAsia="Times New Roman" w:hAnsi="Arial" w:cs="Arial"/>
          <w:color w:val="000000"/>
          <w:sz w:val="20"/>
          <w:szCs w:val="20"/>
        </w:rPr>
      </w:pPr>
      <w:r w:rsidRPr="00AA0E84">
        <w:rPr>
          <w:rFonts w:ascii="Arial" w:eastAsia="Times New Roman" w:hAnsi="Arial" w:cs="Arial"/>
          <w:color w:val="000000"/>
          <w:sz w:val="20"/>
          <w:szCs w:val="20"/>
        </w:rPr>
        <w:t>- izvore sredstava iz kojih će se namiriti iznos za slučaj potpunog ili djelomičnog oslobađanja od plaćanja komunalnog doprinosa.</w:t>
      </w:r>
    </w:p>
    <w:p w:rsidR="00AA0E84" w:rsidRPr="00AA0E84" w:rsidRDefault="00AA0E84" w:rsidP="00AA0E84">
      <w:pPr>
        <w:spacing w:before="240" w:after="120" w:line="240" w:lineRule="atLeast"/>
        <w:ind w:left="1050" w:right="1050"/>
        <w:jc w:val="center"/>
        <w:rPr>
          <w:rFonts w:ascii="Arial" w:eastAsia="Times New Roman" w:hAnsi="Arial" w:cs="Arial"/>
          <w:b/>
          <w:bCs/>
          <w:color w:val="000000"/>
          <w:sz w:val="20"/>
          <w:szCs w:val="20"/>
        </w:rPr>
      </w:pPr>
      <w:r w:rsidRPr="00AA0E84">
        <w:rPr>
          <w:rFonts w:ascii="Arial" w:eastAsia="Times New Roman" w:hAnsi="Arial" w:cs="Arial"/>
          <w:b/>
          <w:bCs/>
          <w:color w:val="000000"/>
          <w:sz w:val="18"/>
          <w:szCs w:val="18"/>
        </w:rPr>
        <w:t>Članak 2.</w:t>
      </w:r>
    </w:p>
    <w:p w:rsidR="00AA0E84" w:rsidRPr="00AA0E84" w:rsidRDefault="00AA0E84" w:rsidP="00AA0E84">
      <w:pPr>
        <w:spacing w:before="15" w:after="15" w:line="240" w:lineRule="auto"/>
        <w:ind w:left="105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t>Komunalni doprinos je prihod proračuna Općine Brckovljani.</w:t>
      </w:r>
    </w:p>
    <w:p w:rsidR="00AA0E84" w:rsidRPr="00AA0E84" w:rsidRDefault="00AA0E84" w:rsidP="00AA0E84">
      <w:pPr>
        <w:spacing w:before="15" w:after="15" w:line="240" w:lineRule="auto"/>
        <w:ind w:left="105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t>Sredstva komunalnog doprinosa namijenjena su financiranju gradnje objekata i uređaja komunalne infrastrukture:</w:t>
      </w:r>
    </w:p>
    <w:p w:rsidR="00AA0E84" w:rsidRPr="00AA0E84" w:rsidRDefault="00AA0E84" w:rsidP="00AA0E84">
      <w:pPr>
        <w:spacing w:before="15" w:after="15" w:line="240" w:lineRule="auto"/>
        <w:ind w:left="105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t>javne površine, nerazvrstane ceste, groblje, javna rasvjeta.</w:t>
      </w:r>
    </w:p>
    <w:p w:rsidR="00AA0E84" w:rsidRPr="00AA0E84" w:rsidRDefault="00AA0E84" w:rsidP="00AA0E84">
      <w:pPr>
        <w:spacing w:before="240" w:after="120" w:line="240" w:lineRule="atLeast"/>
        <w:ind w:left="1050" w:right="1050"/>
        <w:jc w:val="center"/>
        <w:rPr>
          <w:rFonts w:ascii="Arial" w:eastAsia="Times New Roman" w:hAnsi="Arial" w:cs="Arial"/>
          <w:b/>
          <w:bCs/>
          <w:color w:val="000000"/>
          <w:sz w:val="20"/>
          <w:szCs w:val="20"/>
        </w:rPr>
      </w:pPr>
      <w:r w:rsidRPr="00AA0E84">
        <w:rPr>
          <w:rFonts w:ascii="Arial" w:eastAsia="Times New Roman" w:hAnsi="Arial" w:cs="Arial"/>
          <w:b/>
          <w:bCs/>
          <w:color w:val="000000"/>
          <w:sz w:val="18"/>
          <w:szCs w:val="18"/>
        </w:rPr>
        <w:t>Članak 3.</w:t>
      </w:r>
    </w:p>
    <w:p w:rsidR="00AA0E84" w:rsidRPr="00AA0E84" w:rsidRDefault="00AA0E84" w:rsidP="00AA0E84">
      <w:pPr>
        <w:spacing w:before="15" w:after="15" w:line="240" w:lineRule="auto"/>
        <w:ind w:left="105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t>Komunalni doprinos plaća vlasnik građevne čestice na kojoj se gradi građevina, odnosno investitor objekta bez obzira da li se građevna čestica nalazi u građevnom području ili van građevnog područja.</w:t>
      </w:r>
    </w:p>
    <w:p w:rsidR="00AA0E84" w:rsidRPr="00AA0E84" w:rsidRDefault="00AA0E84" w:rsidP="00AA0E84">
      <w:pPr>
        <w:spacing w:before="360" w:after="240" w:line="240" w:lineRule="atLeast"/>
        <w:ind w:left="1050" w:right="1050"/>
        <w:rPr>
          <w:rFonts w:ascii="Arial" w:eastAsia="Times New Roman" w:hAnsi="Arial" w:cs="Arial"/>
          <w:b/>
          <w:bCs/>
          <w:color w:val="000000"/>
          <w:sz w:val="20"/>
          <w:szCs w:val="20"/>
        </w:rPr>
      </w:pPr>
      <w:r w:rsidRPr="00AA0E84">
        <w:rPr>
          <w:rFonts w:ascii="Arial" w:eastAsia="Times New Roman" w:hAnsi="Arial" w:cs="Arial"/>
          <w:b/>
          <w:bCs/>
          <w:color w:val="000000"/>
          <w:sz w:val="20"/>
          <w:szCs w:val="20"/>
        </w:rPr>
        <w:t>II. ZONE ZA PLAĆANJE KOMUNALNOG DOPRINOSA</w:t>
      </w:r>
    </w:p>
    <w:p w:rsidR="00AA0E84" w:rsidRPr="00AA0E84" w:rsidRDefault="00AA0E84" w:rsidP="00AA0E84">
      <w:pPr>
        <w:spacing w:before="240" w:after="120" w:line="240" w:lineRule="atLeast"/>
        <w:ind w:left="1050" w:right="1050"/>
        <w:jc w:val="center"/>
        <w:rPr>
          <w:rFonts w:ascii="Arial" w:eastAsia="Times New Roman" w:hAnsi="Arial" w:cs="Arial"/>
          <w:b/>
          <w:bCs/>
          <w:color w:val="000000"/>
          <w:sz w:val="20"/>
          <w:szCs w:val="20"/>
        </w:rPr>
      </w:pPr>
      <w:r w:rsidRPr="00AA0E84">
        <w:rPr>
          <w:rFonts w:ascii="Arial" w:eastAsia="Times New Roman" w:hAnsi="Arial" w:cs="Arial"/>
          <w:b/>
          <w:bCs/>
          <w:color w:val="000000"/>
          <w:sz w:val="18"/>
          <w:szCs w:val="18"/>
        </w:rPr>
        <w:t>Članak 4.</w:t>
      </w:r>
    </w:p>
    <w:p w:rsidR="00AA0E84" w:rsidRPr="00AA0E84" w:rsidRDefault="00AA0E84" w:rsidP="00AA0E84">
      <w:pPr>
        <w:spacing w:before="15" w:after="15" w:line="240" w:lineRule="auto"/>
        <w:ind w:left="105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t>Za sva naselja na području Općine Brckovljani utvrđuje se jedna zona za naplaćivanje komunalnog doprinosa.</w:t>
      </w:r>
    </w:p>
    <w:p w:rsidR="00AA0E84" w:rsidRPr="00AA0E84" w:rsidRDefault="00AA0E84" w:rsidP="00AA0E84">
      <w:pPr>
        <w:spacing w:before="360" w:after="240" w:line="240" w:lineRule="atLeast"/>
        <w:ind w:left="1050" w:right="1050"/>
        <w:rPr>
          <w:rFonts w:ascii="Arial" w:eastAsia="Times New Roman" w:hAnsi="Arial" w:cs="Arial"/>
          <w:b/>
          <w:bCs/>
          <w:color w:val="000000"/>
          <w:sz w:val="20"/>
          <w:szCs w:val="20"/>
        </w:rPr>
      </w:pPr>
      <w:r w:rsidRPr="00AA0E84">
        <w:rPr>
          <w:rFonts w:ascii="Arial" w:eastAsia="Times New Roman" w:hAnsi="Arial" w:cs="Arial"/>
          <w:b/>
          <w:bCs/>
          <w:color w:val="000000"/>
          <w:sz w:val="20"/>
          <w:szCs w:val="20"/>
        </w:rPr>
        <w:t>III. JEDINIČNA VRIJEDNOST KOMUNALNOG DOPRINOSA</w:t>
      </w:r>
    </w:p>
    <w:p w:rsidR="00AA0E84" w:rsidRPr="00AA0E84" w:rsidRDefault="00AA0E84" w:rsidP="00AA0E84">
      <w:pPr>
        <w:spacing w:before="240" w:after="120" w:line="240" w:lineRule="atLeast"/>
        <w:ind w:left="1050" w:right="1050"/>
        <w:jc w:val="center"/>
        <w:rPr>
          <w:rFonts w:ascii="Arial" w:eastAsia="Times New Roman" w:hAnsi="Arial" w:cs="Arial"/>
          <w:b/>
          <w:bCs/>
          <w:color w:val="000000"/>
          <w:sz w:val="20"/>
          <w:szCs w:val="20"/>
        </w:rPr>
      </w:pPr>
      <w:r w:rsidRPr="00AA0E84">
        <w:rPr>
          <w:rFonts w:ascii="Arial" w:eastAsia="Times New Roman" w:hAnsi="Arial" w:cs="Arial"/>
          <w:b/>
          <w:bCs/>
          <w:color w:val="000000"/>
          <w:sz w:val="18"/>
          <w:szCs w:val="18"/>
        </w:rPr>
        <w:t>Članak 5.</w:t>
      </w:r>
    </w:p>
    <w:p w:rsidR="00AA0E84" w:rsidRPr="00AA0E84" w:rsidRDefault="00AA0E84" w:rsidP="00AA0E84">
      <w:pPr>
        <w:spacing w:before="15" w:after="15" w:line="240" w:lineRule="auto"/>
        <w:ind w:left="105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t>Utvrđuje se jedinična vrijednost komunalnog doprinosa u kunama po m3 građevine i to:</w:t>
      </w:r>
    </w:p>
    <w:p w:rsidR="00AA0E84" w:rsidRPr="00AA0E84" w:rsidRDefault="00AA0E84" w:rsidP="00AA0E84">
      <w:pPr>
        <w:spacing w:before="15" w:after="15" w:line="240" w:lineRule="auto"/>
        <w:ind w:left="105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t>  </w:t>
      </w:r>
    </w:p>
    <w:tbl>
      <w:tblPr>
        <w:tblW w:w="10755" w:type="dxa"/>
        <w:jc w:val="center"/>
        <w:tblInd w:w="40" w:type="dxa"/>
        <w:tblCellMar>
          <w:left w:w="0" w:type="dxa"/>
          <w:right w:w="0" w:type="dxa"/>
        </w:tblCellMar>
        <w:tblLook w:val="04A0"/>
      </w:tblPr>
      <w:tblGrid>
        <w:gridCol w:w="439"/>
        <w:gridCol w:w="3156"/>
        <w:gridCol w:w="2465"/>
        <w:gridCol w:w="4695"/>
      </w:tblGrid>
      <w:tr w:rsidR="00AA0E84" w:rsidRPr="00AA0E84" w:rsidTr="00AA0E84">
        <w:trPr>
          <w:trHeight w:val="202"/>
          <w:jc w:val="center"/>
        </w:trPr>
        <w:tc>
          <w:tcPr>
            <w:tcW w:w="420" w:type="dxa"/>
            <w:tcMar>
              <w:top w:w="0" w:type="dxa"/>
              <w:left w:w="40" w:type="dxa"/>
              <w:bottom w:w="0" w:type="dxa"/>
              <w:right w:w="40" w:type="dxa"/>
            </w:tcMar>
            <w:hideMark/>
          </w:tcPr>
          <w:p w:rsidR="00AA0E84" w:rsidRPr="00AA0E84" w:rsidRDefault="00AA0E84" w:rsidP="00AA0E84">
            <w:pPr>
              <w:spacing w:after="0" w:line="202" w:lineRule="atLeast"/>
              <w:rPr>
                <w:rFonts w:ascii="Times New Roman" w:eastAsia="Times New Roman" w:hAnsi="Times New Roman" w:cs="Times New Roman"/>
                <w:sz w:val="24"/>
                <w:szCs w:val="24"/>
              </w:rPr>
            </w:pPr>
            <w:r w:rsidRPr="00AA0E84">
              <w:rPr>
                <w:rFonts w:ascii="Times New Roman" w:eastAsia="Times New Roman" w:hAnsi="Times New Roman" w:cs="Times New Roman"/>
                <w:sz w:val="24"/>
                <w:szCs w:val="24"/>
              </w:rPr>
              <w:t> </w:t>
            </w:r>
          </w:p>
        </w:tc>
        <w:tc>
          <w:tcPr>
            <w:tcW w:w="3015" w:type="dxa"/>
            <w:tcMar>
              <w:top w:w="0" w:type="dxa"/>
              <w:left w:w="40" w:type="dxa"/>
              <w:bottom w:w="0" w:type="dxa"/>
              <w:right w:w="40" w:type="dxa"/>
            </w:tcMar>
            <w:hideMark/>
          </w:tcPr>
          <w:p w:rsidR="00AA0E84" w:rsidRPr="00AA0E84" w:rsidRDefault="00AA0E84" w:rsidP="00AA0E84">
            <w:pPr>
              <w:spacing w:after="0" w:line="202" w:lineRule="atLeast"/>
              <w:rPr>
                <w:rFonts w:ascii="Times New Roman" w:eastAsia="Times New Roman" w:hAnsi="Times New Roman" w:cs="Times New Roman"/>
                <w:sz w:val="24"/>
                <w:szCs w:val="24"/>
              </w:rPr>
            </w:pPr>
            <w:r w:rsidRPr="00AA0E84">
              <w:rPr>
                <w:rFonts w:ascii="Times New Roman" w:eastAsia="Times New Roman" w:hAnsi="Times New Roman" w:cs="Times New Roman"/>
                <w:sz w:val="18"/>
                <w:szCs w:val="18"/>
              </w:rPr>
              <w:t>OBJEKT I ZONE</w:t>
            </w:r>
          </w:p>
        </w:tc>
        <w:tc>
          <w:tcPr>
            <w:tcW w:w="2355" w:type="dxa"/>
            <w:tcMar>
              <w:top w:w="0" w:type="dxa"/>
              <w:left w:w="40" w:type="dxa"/>
              <w:bottom w:w="0" w:type="dxa"/>
              <w:right w:w="40" w:type="dxa"/>
            </w:tcMar>
            <w:hideMark/>
          </w:tcPr>
          <w:p w:rsidR="00AA0E84" w:rsidRPr="00AA0E84" w:rsidRDefault="00AA0E84" w:rsidP="00AA0E84">
            <w:pPr>
              <w:spacing w:after="0" w:line="202" w:lineRule="atLeast"/>
              <w:rPr>
                <w:rFonts w:ascii="Times New Roman" w:eastAsia="Times New Roman" w:hAnsi="Times New Roman" w:cs="Times New Roman"/>
                <w:sz w:val="24"/>
                <w:szCs w:val="24"/>
              </w:rPr>
            </w:pPr>
            <w:r w:rsidRPr="00AA0E84">
              <w:rPr>
                <w:rFonts w:ascii="Times New Roman" w:eastAsia="Times New Roman" w:hAnsi="Times New Roman" w:cs="Times New Roman"/>
                <w:sz w:val="18"/>
                <w:szCs w:val="18"/>
              </w:rPr>
              <w:t>STAMBENI PROSTOR</w:t>
            </w:r>
          </w:p>
        </w:tc>
        <w:tc>
          <w:tcPr>
            <w:tcW w:w="4485" w:type="dxa"/>
            <w:tcMar>
              <w:top w:w="0" w:type="dxa"/>
              <w:left w:w="40" w:type="dxa"/>
              <w:bottom w:w="0" w:type="dxa"/>
              <w:right w:w="40" w:type="dxa"/>
            </w:tcMar>
            <w:hideMark/>
          </w:tcPr>
          <w:p w:rsidR="00AA0E84" w:rsidRPr="00AA0E84" w:rsidRDefault="00AA0E84" w:rsidP="00AA0E84">
            <w:pPr>
              <w:spacing w:after="0" w:line="202" w:lineRule="atLeast"/>
              <w:rPr>
                <w:rFonts w:ascii="Times New Roman" w:eastAsia="Times New Roman" w:hAnsi="Times New Roman" w:cs="Times New Roman"/>
                <w:sz w:val="24"/>
                <w:szCs w:val="24"/>
              </w:rPr>
            </w:pPr>
            <w:r w:rsidRPr="00AA0E84">
              <w:rPr>
                <w:rFonts w:ascii="Times New Roman" w:eastAsia="Times New Roman" w:hAnsi="Times New Roman" w:cs="Times New Roman"/>
                <w:sz w:val="18"/>
                <w:szCs w:val="18"/>
              </w:rPr>
              <w:t>POSLOVNI, GOSPODARSKI PROSTOR I USTANOVE</w:t>
            </w:r>
          </w:p>
        </w:tc>
      </w:tr>
      <w:tr w:rsidR="00AA0E84" w:rsidRPr="00AA0E84" w:rsidTr="00AA0E84">
        <w:trPr>
          <w:trHeight w:val="178"/>
          <w:jc w:val="center"/>
        </w:trPr>
        <w:tc>
          <w:tcPr>
            <w:tcW w:w="420" w:type="dxa"/>
            <w:tcMar>
              <w:top w:w="0" w:type="dxa"/>
              <w:left w:w="40" w:type="dxa"/>
              <w:bottom w:w="0" w:type="dxa"/>
              <w:right w:w="40" w:type="dxa"/>
            </w:tcMar>
            <w:hideMark/>
          </w:tcPr>
          <w:p w:rsidR="00AA0E84" w:rsidRPr="00AA0E84" w:rsidRDefault="00AA0E84" w:rsidP="00AA0E84">
            <w:pPr>
              <w:spacing w:after="0" w:line="178" w:lineRule="atLeast"/>
              <w:rPr>
                <w:rFonts w:ascii="Times New Roman" w:eastAsia="Times New Roman" w:hAnsi="Times New Roman" w:cs="Times New Roman"/>
                <w:sz w:val="24"/>
                <w:szCs w:val="24"/>
              </w:rPr>
            </w:pPr>
            <w:r w:rsidRPr="00AA0E84">
              <w:rPr>
                <w:rFonts w:ascii="Times New Roman" w:eastAsia="Times New Roman" w:hAnsi="Times New Roman" w:cs="Times New Roman"/>
                <w:sz w:val="24"/>
                <w:szCs w:val="24"/>
              </w:rPr>
              <w:t> </w:t>
            </w:r>
          </w:p>
        </w:tc>
        <w:tc>
          <w:tcPr>
            <w:tcW w:w="3015" w:type="dxa"/>
            <w:tcMar>
              <w:top w:w="0" w:type="dxa"/>
              <w:left w:w="40" w:type="dxa"/>
              <w:bottom w:w="0" w:type="dxa"/>
              <w:right w:w="40" w:type="dxa"/>
            </w:tcMar>
            <w:hideMark/>
          </w:tcPr>
          <w:p w:rsidR="00AA0E84" w:rsidRPr="00AA0E84" w:rsidRDefault="00AA0E84" w:rsidP="00AA0E84">
            <w:pPr>
              <w:spacing w:after="0" w:line="178" w:lineRule="atLeast"/>
              <w:rPr>
                <w:rFonts w:ascii="Times New Roman" w:eastAsia="Times New Roman" w:hAnsi="Times New Roman" w:cs="Times New Roman"/>
                <w:sz w:val="24"/>
                <w:szCs w:val="24"/>
              </w:rPr>
            </w:pPr>
            <w:r w:rsidRPr="00AA0E84">
              <w:rPr>
                <w:rFonts w:ascii="Times New Roman" w:eastAsia="Times New Roman" w:hAnsi="Times New Roman" w:cs="Times New Roman"/>
                <w:sz w:val="18"/>
                <w:szCs w:val="18"/>
              </w:rPr>
              <w:t>1</w:t>
            </w:r>
          </w:p>
        </w:tc>
        <w:tc>
          <w:tcPr>
            <w:tcW w:w="2355" w:type="dxa"/>
            <w:tcMar>
              <w:top w:w="0" w:type="dxa"/>
              <w:left w:w="40" w:type="dxa"/>
              <w:bottom w:w="0" w:type="dxa"/>
              <w:right w:w="40" w:type="dxa"/>
            </w:tcMar>
            <w:hideMark/>
          </w:tcPr>
          <w:p w:rsidR="00AA0E84" w:rsidRPr="00AA0E84" w:rsidRDefault="00AA0E84" w:rsidP="00AA0E84">
            <w:pPr>
              <w:spacing w:after="0" w:line="178" w:lineRule="atLeast"/>
              <w:rPr>
                <w:rFonts w:ascii="Times New Roman" w:eastAsia="Times New Roman" w:hAnsi="Times New Roman" w:cs="Times New Roman"/>
                <w:sz w:val="24"/>
                <w:szCs w:val="24"/>
              </w:rPr>
            </w:pPr>
            <w:r w:rsidRPr="00AA0E84">
              <w:rPr>
                <w:rFonts w:ascii="Times New Roman" w:eastAsia="Times New Roman" w:hAnsi="Times New Roman" w:cs="Times New Roman"/>
                <w:sz w:val="18"/>
                <w:szCs w:val="18"/>
              </w:rPr>
              <w:t>2</w:t>
            </w:r>
          </w:p>
        </w:tc>
        <w:tc>
          <w:tcPr>
            <w:tcW w:w="4485" w:type="dxa"/>
            <w:tcMar>
              <w:top w:w="0" w:type="dxa"/>
              <w:left w:w="40" w:type="dxa"/>
              <w:bottom w:w="0" w:type="dxa"/>
              <w:right w:w="40" w:type="dxa"/>
            </w:tcMar>
            <w:hideMark/>
          </w:tcPr>
          <w:p w:rsidR="00AA0E84" w:rsidRPr="00AA0E84" w:rsidRDefault="00AA0E84" w:rsidP="00AA0E84">
            <w:pPr>
              <w:spacing w:after="0" w:line="178" w:lineRule="atLeast"/>
              <w:rPr>
                <w:rFonts w:ascii="Times New Roman" w:eastAsia="Times New Roman" w:hAnsi="Times New Roman" w:cs="Times New Roman"/>
                <w:sz w:val="24"/>
                <w:szCs w:val="24"/>
              </w:rPr>
            </w:pPr>
            <w:r w:rsidRPr="00AA0E84">
              <w:rPr>
                <w:rFonts w:ascii="Times New Roman" w:eastAsia="Times New Roman" w:hAnsi="Times New Roman" w:cs="Times New Roman"/>
                <w:sz w:val="18"/>
                <w:szCs w:val="18"/>
              </w:rPr>
              <w:t>3</w:t>
            </w:r>
          </w:p>
        </w:tc>
      </w:tr>
      <w:tr w:rsidR="00AA0E84" w:rsidRPr="00AA0E84" w:rsidTr="00AA0E84">
        <w:trPr>
          <w:trHeight w:val="226"/>
          <w:jc w:val="center"/>
        </w:trPr>
        <w:tc>
          <w:tcPr>
            <w:tcW w:w="420" w:type="dxa"/>
            <w:tcMar>
              <w:top w:w="0" w:type="dxa"/>
              <w:left w:w="40" w:type="dxa"/>
              <w:bottom w:w="0" w:type="dxa"/>
              <w:right w:w="40" w:type="dxa"/>
            </w:tcMar>
            <w:hideMark/>
          </w:tcPr>
          <w:p w:rsidR="00AA0E84" w:rsidRPr="00AA0E84" w:rsidRDefault="00AA0E84" w:rsidP="00AA0E84">
            <w:pPr>
              <w:spacing w:after="0" w:line="226" w:lineRule="atLeast"/>
              <w:rPr>
                <w:rFonts w:ascii="Times New Roman" w:eastAsia="Times New Roman" w:hAnsi="Times New Roman" w:cs="Times New Roman"/>
                <w:sz w:val="24"/>
                <w:szCs w:val="24"/>
              </w:rPr>
            </w:pPr>
            <w:r w:rsidRPr="00AA0E84">
              <w:rPr>
                <w:rFonts w:ascii="Times New Roman" w:eastAsia="Times New Roman" w:hAnsi="Times New Roman" w:cs="Times New Roman"/>
                <w:sz w:val="18"/>
                <w:szCs w:val="18"/>
              </w:rPr>
              <w:t>1.</w:t>
            </w:r>
          </w:p>
        </w:tc>
        <w:tc>
          <w:tcPr>
            <w:tcW w:w="3015" w:type="dxa"/>
            <w:tcMar>
              <w:top w:w="0" w:type="dxa"/>
              <w:left w:w="40" w:type="dxa"/>
              <w:bottom w:w="0" w:type="dxa"/>
              <w:right w:w="40" w:type="dxa"/>
            </w:tcMar>
            <w:hideMark/>
          </w:tcPr>
          <w:p w:rsidR="00AA0E84" w:rsidRPr="00AA0E84" w:rsidRDefault="00AA0E84" w:rsidP="00AA0E84">
            <w:pPr>
              <w:spacing w:after="0" w:line="226" w:lineRule="atLeast"/>
              <w:rPr>
                <w:rFonts w:ascii="Times New Roman" w:eastAsia="Times New Roman" w:hAnsi="Times New Roman" w:cs="Times New Roman"/>
                <w:sz w:val="24"/>
                <w:szCs w:val="24"/>
              </w:rPr>
            </w:pPr>
            <w:r w:rsidRPr="00AA0E84">
              <w:rPr>
                <w:rFonts w:ascii="Times New Roman" w:eastAsia="Times New Roman" w:hAnsi="Times New Roman" w:cs="Times New Roman"/>
                <w:sz w:val="18"/>
                <w:szCs w:val="18"/>
              </w:rPr>
              <w:t>JAVNE POVRŠINE (nogostup itd.)</w:t>
            </w:r>
          </w:p>
        </w:tc>
        <w:tc>
          <w:tcPr>
            <w:tcW w:w="2355" w:type="dxa"/>
            <w:tcMar>
              <w:top w:w="0" w:type="dxa"/>
              <w:left w:w="40" w:type="dxa"/>
              <w:bottom w:w="0" w:type="dxa"/>
              <w:right w:w="40" w:type="dxa"/>
            </w:tcMar>
            <w:hideMark/>
          </w:tcPr>
          <w:p w:rsidR="00AA0E84" w:rsidRPr="00AA0E84" w:rsidRDefault="00AA0E84" w:rsidP="00AA0E84">
            <w:pPr>
              <w:spacing w:after="0" w:line="226" w:lineRule="atLeast"/>
              <w:rPr>
                <w:rFonts w:ascii="Times New Roman" w:eastAsia="Times New Roman" w:hAnsi="Times New Roman" w:cs="Times New Roman"/>
                <w:sz w:val="24"/>
                <w:szCs w:val="24"/>
              </w:rPr>
            </w:pPr>
            <w:r w:rsidRPr="00AA0E84">
              <w:rPr>
                <w:rFonts w:ascii="Times New Roman" w:eastAsia="Times New Roman" w:hAnsi="Times New Roman" w:cs="Times New Roman"/>
                <w:sz w:val="18"/>
                <w:szCs w:val="18"/>
              </w:rPr>
              <w:t>7,00 kn/m</w:t>
            </w:r>
            <w:r w:rsidRPr="00AA0E84">
              <w:rPr>
                <w:rFonts w:ascii="Times New Roman" w:eastAsia="Times New Roman" w:hAnsi="Times New Roman" w:cs="Times New Roman"/>
                <w:sz w:val="18"/>
                <w:szCs w:val="18"/>
                <w:vertAlign w:val="superscript"/>
              </w:rPr>
              <w:t>3</w:t>
            </w:r>
          </w:p>
        </w:tc>
        <w:tc>
          <w:tcPr>
            <w:tcW w:w="4485" w:type="dxa"/>
            <w:tcMar>
              <w:top w:w="0" w:type="dxa"/>
              <w:left w:w="40" w:type="dxa"/>
              <w:bottom w:w="0" w:type="dxa"/>
              <w:right w:w="40" w:type="dxa"/>
            </w:tcMar>
            <w:hideMark/>
          </w:tcPr>
          <w:p w:rsidR="00AA0E84" w:rsidRPr="00AA0E84" w:rsidRDefault="00AA0E84" w:rsidP="00AA0E84">
            <w:pPr>
              <w:spacing w:after="0" w:line="226" w:lineRule="atLeast"/>
              <w:rPr>
                <w:rFonts w:ascii="Times New Roman" w:eastAsia="Times New Roman" w:hAnsi="Times New Roman" w:cs="Times New Roman"/>
                <w:sz w:val="24"/>
                <w:szCs w:val="24"/>
              </w:rPr>
            </w:pPr>
            <w:r w:rsidRPr="00AA0E84">
              <w:rPr>
                <w:rFonts w:ascii="Times New Roman" w:eastAsia="Times New Roman" w:hAnsi="Times New Roman" w:cs="Times New Roman"/>
                <w:sz w:val="18"/>
                <w:szCs w:val="18"/>
              </w:rPr>
              <w:t>12,00 kn/m</w:t>
            </w:r>
            <w:r w:rsidRPr="00AA0E84">
              <w:rPr>
                <w:rFonts w:ascii="Times New Roman" w:eastAsia="Times New Roman" w:hAnsi="Times New Roman" w:cs="Times New Roman"/>
                <w:sz w:val="18"/>
                <w:szCs w:val="18"/>
                <w:vertAlign w:val="superscript"/>
              </w:rPr>
              <w:t>3</w:t>
            </w:r>
          </w:p>
        </w:tc>
      </w:tr>
      <w:tr w:rsidR="00AA0E84" w:rsidRPr="00AA0E84" w:rsidTr="00AA0E84">
        <w:trPr>
          <w:trHeight w:val="163"/>
          <w:jc w:val="center"/>
        </w:trPr>
        <w:tc>
          <w:tcPr>
            <w:tcW w:w="420" w:type="dxa"/>
            <w:tcMar>
              <w:top w:w="0" w:type="dxa"/>
              <w:left w:w="40" w:type="dxa"/>
              <w:bottom w:w="0" w:type="dxa"/>
              <w:right w:w="40" w:type="dxa"/>
            </w:tcMar>
            <w:hideMark/>
          </w:tcPr>
          <w:p w:rsidR="00AA0E84" w:rsidRPr="00AA0E84" w:rsidRDefault="00AA0E84" w:rsidP="00AA0E84">
            <w:pPr>
              <w:spacing w:after="0" w:line="163" w:lineRule="atLeast"/>
              <w:rPr>
                <w:rFonts w:ascii="Times New Roman" w:eastAsia="Times New Roman" w:hAnsi="Times New Roman" w:cs="Times New Roman"/>
                <w:sz w:val="24"/>
                <w:szCs w:val="24"/>
              </w:rPr>
            </w:pPr>
            <w:r w:rsidRPr="00AA0E84">
              <w:rPr>
                <w:rFonts w:ascii="Times New Roman" w:eastAsia="Times New Roman" w:hAnsi="Times New Roman" w:cs="Times New Roman"/>
                <w:sz w:val="18"/>
                <w:szCs w:val="18"/>
              </w:rPr>
              <w:t>2.</w:t>
            </w:r>
          </w:p>
        </w:tc>
        <w:tc>
          <w:tcPr>
            <w:tcW w:w="3015" w:type="dxa"/>
            <w:tcMar>
              <w:top w:w="0" w:type="dxa"/>
              <w:left w:w="40" w:type="dxa"/>
              <w:bottom w:w="0" w:type="dxa"/>
              <w:right w:w="40" w:type="dxa"/>
            </w:tcMar>
            <w:hideMark/>
          </w:tcPr>
          <w:p w:rsidR="00AA0E84" w:rsidRPr="00AA0E84" w:rsidRDefault="00AA0E84" w:rsidP="00AA0E84">
            <w:pPr>
              <w:spacing w:after="0" w:line="163" w:lineRule="atLeast"/>
              <w:rPr>
                <w:rFonts w:ascii="Times New Roman" w:eastAsia="Times New Roman" w:hAnsi="Times New Roman" w:cs="Times New Roman"/>
                <w:sz w:val="24"/>
                <w:szCs w:val="24"/>
              </w:rPr>
            </w:pPr>
            <w:r w:rsidRPr="00AA0E84">
              <w:rPr>
                <w:rFonts w:ascii="Times New Roman" w:eastAsia="Times New Roman" w:hAnsi="Times New Roman" w:cs="Times New Roman"/>
                <w:sz w:val="18"/>
                <w:szCs w:val="18"/>
              </w:rPr>
              <w:t>a) ASFALTNA CESTA</w:t>
            </w:r>
          </w:p>
        </w:tc>
        <w:tc>
          <w:tcPr>
            <w:tcW w:w="2355" w:type="dxa"/>
            <w:tcMar>
              <w:top w:w="0" w:type="dxa"/>
              <w:left w:w="40" w:type="dxa"/>
              <w:bottom w:w="0" w:type="dxa"/>
              <w:right w:w="40" w:type="dxa"/>
            </w:tcMar>
            <w:hideMark/>
          </w:tcPr>
          <w:p w:rsidR="00AA0E84" w:rsidRPr="00AA0E84" w:rsidRDefault="00AA0E84" w:rsidP="00AA0E84">
            <w:pPr>
              <w:spacing w:after="0" w:line="163" w:lineRule="atLeast"/>
              <w:rPr>
                <w:rFonts w:ascii="Times New Roman" w:eastAsia="Times New Roman" w:hAnsi="Times New Roman" w:cs="Times New Roman"/>
                <w:sz w:val="24"/>
                <w:szCs w:val="24"/>
              </w:rPr>
            </w:pPr>
            <w:r w:rsidRPr="00AA0E84">
              <w:rPr>
                <w:rFonts w:ascii="Times New Roman" w:eastAsia="Times New Roman" w:hAnsi="Times New Roman" w:cs="Times New Roman"/>
                <w:sz w:val="18"/>
                <w:szCs w:val="18"/>
              </w:rPr>
              <w:t>18,00 kn/m</w:t>
            </w:r>
            <w:r w:rsidRPr="00AA0E84">
              <w:rPr>
                <w:rFonts w:ascii="Times New Roman" w:eastAsia="Times New Roman" w:hAnsi="Times New Roman" w:cs="Times New Roman"/>
                <w:sz w:val="18"/>
                <w:szCs w:val="18"/>
                <w:vertAlign w:val="superscript"/>
              </w:rPr>
              <w:t>3</w:t>
            </w:r>
          </w:p>
        </w:tc>
        <w:tc>
          <w:tcPr>
            <w:tcW w:w="4485" w:type="dxa"/>
            <w:tcMar>
              <w:top w:w="0" w:type="dxa"/>
              <w:left w:w="40" w:type="dxa"/>
              <w:bottom w:w="0" w:type="dxa"/>
              <w:right w:w="40" w:type="dxa"/>
            </w:tcMar>
            <w:hideMark/>
          </w:tcPr>
          <w:p w:rsidR="00AA0E84" w:rsidRPr="00AA0E84" w:rsidRDefault="00AA0E84" w:rsidP="00AA0E84">
            <w:pPr>
              <w:spacing w:after="0" w:line="163" w:lineRule="atLeast"/>
              <w:rPr>
                <w:rFonts w:ascii="Times New Roman" w:eastAsia="Times New Roman" w:hAnsi="Times New Roman" w:cs="Times New Roman"/>
                <w:sz w:val="24"/>
                <w:szCs w:val="24"/>
              </w:rPr>
            </w:pPr>
            <w:r w:rsidRPr="00AA0E84">
              <w:rPr>
                <w:rFonts w:ascii="Times New Roman" w:eastAsia="Times New Roman" w:hAnsi="Times New Roman" w:cs="Times New Roman"/>
                <w:sz w:val="18"/>
                <w:szCs w:val="18"/>
              </w:rPr>
              <w:t>30,00 kn/m</w:t>
            </w:r>
            <w:r w:rsidRPr="00AA0E84">
              <w:rPr>
                <w:rFonts w:ascii="Times New Roman" w:eastAsia="Times New Roman" w:hAnsi="Times New Roman" w:cs="Times New Roman"/>
                <w:sz w:val="18"/>
                <w:szCs w:val="18"/>
                <w:vertAlign w:val="superscript"/>
              </w:rPr>
              <w:t>3</w:t>
            </w:r>
          </w:p>
        </w:tc>
      </w:tr>
      <w:tr w:rsidR="00AA0E84" w:rsidRPr="00AA0E84" w:rsidTr="00AA0E84">
        <w:trPr>
          <w:trHeight w:val="221"/>
          <w:jc w:val="center"/>
        </w:trPr>
        <w:tc>
          <w:tcPr>
            <w:tcW w:w="420" w:type="dxa"/>
            <w:tcMar>
              <w:top w:w="0" w:type="dxa"/>
              <w:left w:w="40" w:type="dxa"/>
              <w:bottom w:w="0" w:type="dxa"/>
              <w:right w:w="40" w:type="dxa"/>
            </w:tcMar>
            <w:hideMark/>
          </w:tcPr>
          <w:p w:rsidR="00AA0E84" w:rsidRPr="00AA0E84" w:rsidRDefault="00AA0E84" w:rsidP="00AA0E84">
            <w:pPr>
              <w:spacing w:after="0" w:line="221" w:lineRule="atLeast"/>
              <w:rPr>
                <w:rFonts w:ascii="Times New Roman" w:eastAsia="Times New Roman" w:hAnsi="Times New Roman" w:cs="Times New Roman"/>
                <w:sz w:val="24"/>
                <w:szCs w:val="24"/>
              </w:rPr>
            </w:pPr>
            <w:r w:rsidRPr="00AA0E84">
              <w:rPr>
                <w:rFonts w:ascii="Times New Roman" w:eastAsia="Times New Roman" w:hAnsi="Times New Roman" w:cs="Times New Roman"/>
                <w:sz w:val="24"/>
                <w:szCs w:val="24"/>
              </w:rPr>
              <w:lastRenderedPageBreak/>
              <w:t> </w:t>
            </w:r>
          </w:p>
        </w:tc>
        <w:tc>
          <w:tcPr>
            <w:tcW w:w="3015" w:type="dxa"/>
            <w:tcMar>
              <w:top w:w="0" w:type="dxa"/>
              <w:left w:w="40" w:type="dxa"/>
              <w:bottom w:w="0" w:type="dxa"/>
              <w:right w:w="40" w:type="dxa"/>
            </w:tcMar>
            <w:hideMark/>
          </w:tcPr>
          <w:p w:rsidR="00AA0E84" w:rsidRPr="00AA0E84" w:rsidRDefault="00AA0E84" w:rsidP="00AA0E84">
            <w:pPr>
              <w:spacing w:after="0" w:line="221" w:lineRule="atLeast"/>
              <w:rPr>
                <w:rFonts w:ascii="Times New Roman" w:eastAsia="Times New Roman" w:hAnsi="Times New Roman" w:cs="Times New Roman"/>
                <w:sz w:val="24"/>
                <w:szCs w:val="24"/>
              </w:rPr>
            </w:pPr>
            <w:r w:rsidRPr="00AA0E84">
              <w:rPr>
                <w:rFonts w:ascii="Times New Roman" w:eastAsia="Times New Roman" w:hAnsi="Times New Roman" w:cs="Times New Roman"/>
                <w:sz w:val="18"/>
                <w:szCs w:val="18"/>
              </w:rPr>
              <w:t>b) MAKADAMSKA CESTA</w:t>
            </w:r>
          </w:p>
        </w:tc>
        <w:tc>
          <w:tcPr>
            <w:tcW w:w="2355" w:type="dxa"/>
            <w:tcMar>
              <w:top w:w="0" w:type="dxa"/>
              <w:left w:w="40" w:type="dxa"/>
              <w:bottom w:w="0" w:type="dxa"/>
              <w:right w:w="40" w:type="dxa"/>
            </w:tcMar>
            <w:hideMark/>
          </w:tcPr>
          <w:p w:rsidR="00AA0E84" w:rsidRPr="00AA0E84" w:rsidRDefault="00AA0E84" w:rsidP="00AA0E84">
            <w:pPr>
              <w:spacing w:after="0" w:line="221" w:lineRule="atLeast"/>
              <w:rPr>
                <w:rFonts w:ascii="Times New Roman" w:eastAsia="Times New Roman" w:hAnsi="Times New Roman" w:cs="Times New Roman"/>
                <w:sz w:val="24"/>
                <w:szCs w:val="24"/>
              </w:rPr>
            </w:pPr>
            <w:r w:rsidRPr="00AA0E84">
              <w:rPr>
                <w:rFonts w:ascii="Times New Roman" w:eastAsia="Times New Roman" w:hAnsi="Times New Roman" w:cs="Times New Roman"/>
                <w:sz w:val="18"/>
                <w:szCs w:val="18"/>
              </w:rPr>
              <w:t>7,00 kn/m</w:t>
            </w:r>
            <w:r w:rsidRPr="00AA0E84">
              <w:rPr>
                <w:rFonts w:ascii="Times New Roman" w:eastAsia="Times New Roman" w:hAnsi="Times New Roman" w:cs="Times New Roman"/>
                <w:sz w:val="18"/>
                <w:szCs w:val="18"/>
                <w:vertAlign w:val="superscript"/>
              </w:rPr>
              <w:t>3</w:t>
            </w:r>
          </w:p>
        </w:tc>
        <w:tc>
          <w:tcPr>
            <w:tcW w:w="4485" w:type="dxa"/>
            <w:tcMar>
              <w:top w:w="0" w:type="dxa"/>
              <w:left w:w="40" w:type="dxa"/>
              <w:bottom w:w="0" w:type="dxa"/>
              <w:right w:w="40" w:type="dxa"/>
            </w:tcMar>
            <w:hideMark/>
          </w:tcPr>
          <w:p w:rsidR="00AA0E84" w:rsidRPr="00AA0E84" w:rsidRDefault="00AA0E84" w:rsidP="00AA0E84">
            <w:pPr>
              <w:spacing w:after="0" w:line="221" w:lineRule="atLeast"/>
              <w:rPr>
                <w:rFonts w:ascii="Times New Roman" w:eastAsia="Times New Roman" w:hAnsi="Times New Roman" w:cs="Times New Roman"/>
                <w:sz w:val="24"/>
                <w:szCs w:val="24"/>
              </w:rPr>
            </w:pPr>
            <w:r w:rsidRPr="00AA0E84">
              <w:rPr>
                <w:rFonts w:ascii="Times New Roman" w:eastAsia="Times New Roman" w:hAnsi="Times New Roman" w:cs="Times New Roman"/>
                <w:sz w:val="18"/>
                <w:szCs w:val="18"/>
              </w:rPr>
              <w:t>12,00 kn/m</w:t>
            </w:r>
            <w:r w:rsidRPr="00AA0E84">
              <w:rPr>
                <w:rFonts w:ascii="Times New Roman" w:eastAsia="Times New Roman" w:hAnsi="Times New Roman" w:cs="Times New Roman"/>
                <w:sz w:val="18"/>
                <w:szCs w:val="18"/>
                <w:vertAlign w:val="superscript"/>
              </w:rPr>
              <w:t>3</w:t>
            </w:r>
          </w:p>
        </w:tc>
      </w:tr>
      <w:tr w:rsidR="00AA0E84" w:rsidRPr="00AA0E84" w:rsidTr="00AA0E84">
        <w:trPr>
          <w:trHeight w:val="221"/>
          <w:jc w:val="center"/>
        </w:trPr>
        <w:tc>
          <w:tcPr>
            <w:tcW w:w="420" w:type="dxa"/>
            <w:tcMar>
              <w:top w:w="0" w:type="dxa"/>
              <w:left w:w="40" w:type="dxa"/>
              <w:bottom w:w="0" w:type="dxa"/>
              <w:right w:w="40" w:type="dxa"/>
            </w:tcMar>
            <w:hideMark/>
          </w:tcPr>
          <w:p w:rsidR="00AA0E84" w:rsidRPr="00AA0E84" w:rsidRDefault="00AA0E84" w:rsidP="00AA0E84">
            <w:pPr>
              <w:spacing w:after="0" w:line="240" w:lineRule="auto"/>
              <w:rPr>
                <w:rFonts w:ascii="Times New Roman" w:eastAsia="Times New Roman" w:hAnsi="Times New Roman" w:cs="Times New Roman"/>
                <w:szCs w:val="24"/>
              </w:rPr>
            </w:pPr>
          </w:p>
        </w:tc>
        <w:tc>
          <w:tcPr>
            <w:tcW w:w="3015" w:type="dxa"/>
            <w:tcMar>
              <w:top w:w="0" w:type="dxa"/>
              <w:left w:w="40" w:type="dxa"/>
              <w:bottom w:w="0" w:type="dxa"/>
              <w:right w:w="40" w:type="dxa"/>
            </w:tcMar>
            <w:hideMark/>
          </w:tcPr>
          <w:p w:rsidR="00AA0E84" w:rsidRPr="00AA0E84" w:rsidRDefault="00AA0E84" w:rsidP="00AA0E84">
            <w:pPr>
              <w:spacing w:after="0" w:line="240" w:lineRule="auto"/>
              <w:rPr>
                <w:rFonts w:ascii="Times New Roman" w:eastAsia="Times New Roman" w:hAnsi="Times New Roman" w:cs="Times New Roman"/>
                <w:szCs w:val="24"/>
              </w:rPr>
            </w:pPr>
          </w:p>
        </w:tc>
        <w:tc>
          <w:tcPr>
            <w:tcW w:w="2355" w:type="dxa"/>
            <w:tcMar>
              <w:top w:w="0" w:type="dxa"/>
              <w:left w:w="40" w:type="dxa"/>
              <w:bottom w:w="0" w:type="dxa"/>
              <w:right w:w="40" w:type="dxa"/>
            </w:tcMar>
            <w:hideMark/>
          </w:tcPr>
          <w:p w:rsidR="00AA0E84" w:rsidRPr="00AA0E84" w:rsidRDefault="00AA0E84" w:rsidP="00AA0E84">
            <w:pPr>
              <w:spacing w:after="0" w:line="240" w:lineRule="auto"/>
              <w:rPr>
                <w:rFonts w:ascii="Times New Roman" w:eastAsia="Times New Roman" w:hAnsi="Times New Roman" w:cs="Times New Roman"/>
                <w:szCs w:val="24"/>
              </w:rPr>
            </w:pPr>
          </w:p>
        </w:tc>
        <w:tc>
          <w:tcPr>
            <w:tcW w:w="4485" w:type="dxa"/>
            <w:tcMar>
              <w:top w:w="0" w:type="dxa"/>
              <w:left w:w="40" w:type="dxa"/>
              <w:bottom w:w="0" w:type="dxa"/>
              <w:right w:w="40" w:type="dxa"/>
            </w:tcMar>
            <w:hideMark/>
          </w:tcPr>
          <w:p w:rsidR="00AA0E84" w:rsidRPr="00AA0E84" w:rsidRDefault="00AA0E84" w:rsidP="00AA0E84">
            <w:pPr>
              <w:spacing w:after="0" w:line="240" w:lineRule="auto"/>
              <w:rPr>
                <w:rFonts w:ascii="Times New Roman" w:eastAsia="Times New Roman" w:hAnsi="Times New Roman" w:cs="Times New Roman"/>
                <w:szCs w:val="24"/>
              </w:rPr>
            </w:pPr>
          </w:p>
        </w:tc>
      </w:tr>
      <w:tr w:rsidR="00AA0E84" w:rsidRPr="00AA0E84" w:rsidTr="00AA0E84">
        <w:trPr>
          <w:trHeight w:val="221"/>
          <w:jc w:val="center"/>
        </w:trPr>
        <w:tc>
          <w:tcPr>
            <w:tcW w:w="420" w:type="dxa"/>
            <w:tcMar>
              <w:top w:w="0" w:type="dxa"/>
              <w:left w:w="40" w:type="dxa"/>
              <w:bottom w:w="0" w:type="dxa"/>
              <w:right w:w="40" w:type="dxa"/>
            </w:tcMar>
            <w:hideMark/>
          </w:tcPr>
          <w:p w:rsidR="00AA0E84" w:rsidRPr="00AA0E84" w:rsidRDefault="00AA0E84" w:rsidP="00AA0E84">
            <w:pPr>
              <w:spacing w:after="0" w:line="221" w:lineRule="atLeast"/>
              <w:rPr>
                <w:rFonts w:ascii="Times New Roman" w:eastAsia="Times New Roman" w:hAnsi="Times New Roman" w:cs="Times New Roman"/>
                <w:sz w:val="24"/>
                <w:szCs w:val="24"/>
              </w:rPr>
            </w:pPr>
            <w:r w:rsidRPr="00AA0E84">
              <w:rPr>
                <w:rFonts w:ascii="Times New Roman" w:eastAsia="Times New Roman" w:hAnsi="Times New Roman" w:cs="Times New Roman"/>
                <w:sz w:val="18"/>
                <w:szCs w:val="18"/>
              </w:rPr>
              <w:t>3.</w:t>
            </w:r>
          </w:p>
        </w:tc>
        <w:tc>
          <w:tcPr>
            <w:tcW w:w="3015" w:type="dxa"/>
            <w:tcMar>
              <w:top w:w="0" w:type="dxa"/>
              <w:left w:w="40" w:type="dxa"/>
              <w:bottom w:w="0" w:type="dxa"/>
              <w:right w:w="40" w:type="dxa"/>
            </w:tcMar>
            <w:hideMark/>
          </w:tcPr>
          <w:p w:rsidR="00AA0E84" w:rsidRPr="00AA0E84" w:rsidRDefault="00AA0E84" w:rsidP="00AA0E84">
            <w:pPr>
              <w:spacing w:after="0" w:line="221" w:lineRule="atLeast"/>
              <w:rPr>
                <w:rFonts w:ascii="Times New Roman" w:eastAsia="Times New Roman" w:hAnsi="Times New Roman" w:cs="Times New Roman"/>
                <w:sz w:val="24"/>
                <w:szCs w:val="24"/>
              </w:rPr>
            </w:pPr>
            <w:r w:rsidRPr="00AA0E84">
              <w:rPr>
                <w:rFonts w:ascii="Arial" w:eastAsia="Times New Roman" w:hAnsi="Arial" w:cs="Arial"/>
                <w:sz w:val="18"/>
                <w:szCs w:val="18"/>
              </w:rPr>
              <w:t>GROBLJE</w:t>
            </w:r>
          </w:p>
        </w:tc>
        <w:tc>
          <w:tcPr>
            <w:tcW w:w="2355" w:type="dxa"/>
            <w:tcMar>
              <w:top w:w="0" w:type="dxa"/>
              <w:left w:w="40" w:type="dxa"/>
              <w:bottom w:w="0" w:type="dxa"/>
              <w:right w:w="40" w:type="dxa"/>
            </w:tcMar>
            <w:hideMark/>
          </w:tcPr>
          <w:p w:rsidR="00AA0E84" w:rsidRPr="00AA0E84" w:rsidRDefault="00AA0E84" w:rsidP="00AA0E84">
            <w:pPr>
              <w:spacing w:after="0" w:line="221" w:lineRule="atLeast"/>
              <w:rPr>
                <w:rFonts w:ascii="Times New Roman" w:eastAsia="Times New Roman" w:hAnsi="Times New Roman" w:cs="Times New Roman"/>
                <w:sz w:val="24"/>
                <w:szCs w:val="24"/>
              </w:rPr>
            </w:pPr>
            <w:r w:rsidRPr="00AA0E84">
              <w:rPr>
                <w:rFonts w:ascii="Arial" w:eastAsia="Times New Roman" w:hAnsi="Arial" w:cs="Arial"/>
                <w:sz w:val="18"/>
                <w:szCs w:val="18"/>
              </w:rPr>
              <w:t>3,00 kn/m</w:t>
            </w:r>
            <w:r w:rsidRPr="00AA0E84">
              <w:rPr>
                <w:rFonts w:ascii="Arial" w:eastAsia="Times New Roman" w:hAnsi="Arial" w:cs="Arial"/>
                <w:sz w:val="18"/>
                <w:szCs w:val="18"/>
                <w:vertAlign w:val="superscript"/>
              </w:rPr>
              <w:t>3</w:t>
            </w:r>
          </w:p>
        </w:tc>
        <w:tc>
          <w:tcPr>
            <w:tcW w:w="4485" w:type="dxa"/>
            <w:tcMar>
              <w:top w:w="0" w:type="dxa"/>
              <w:left w:w="40" w:type="dxa"/>
              <w:bottom w:w="0" w:type="dxa"/>
              <w:right w:w="40" w:type="dxa"/>
            </w:tcMar>
            <w:hideMark/>
          </w:tcPr>
          <w:p w:rsidR="00AA0E84" w:rsidRPr="00AA0E84" w:rsidRDefault="00AA0E84" w:rsidP="00AA0E84">
            <w:pPr>
              <w:spacing w:after="0" w:line="240" w:lineRule="auto"/>
              <w:rPr>
                <w:rFonts w:ascii="Times New Roman" w:eastAsia="Times New Roman" w:hAnsi="Times New Roman" w:cs="Times New Roman"/>
                <w:szCs w:val="24"/>
              </w:rPr>
            </w:pPr>
          </w:p>
        </w:tc>
      </w:tr>
      <w:tr w:rsidR="00AA0E84" w:rsidRPr="00AA0E84" w:rsidTr="00AA0E84">
        <w:trPr>
          <w:trHeight w:val="221"/>
          <w:jc w:val="center"/>
        </w:trPr>
        <w:tc>
          <w:tcPr>
            <w:tcW w:w="420" w:type="dxa"/>
            <w:tcMar>
              <w:top w:w="0" w:type="dxa"/>
              <w:left w:w="40" w:type="dxa"/>
              <w:bottom w:w="0" w:type="dxa"/>
              <w:right w:w="40" w:type="dxa"/>
            </w:tcMar>
            <w:hideMark/>
          </w:tcPr>
          <w:p w:rsidR="00AA0E84" w:rsidRPr="00AA0E84" w:rsidRDefault="00AA0E84" w:rsidP="00AA0E84">
            <w:pPr>
              <w:spacing w:after="0" w:line="221" w:lineRule="atLeast"/>
              <w:rPr>
                <w:rFonts w:ascii="Times New Roman" w:eastAsia="Times New Roman" w:hAnsi="Times New Roman" w:cs="Times New Roman"/>
                <w:sz w:val="24"/>
                <w:szCs w:val="24"/>
              </w:rPr>
            </w:pPr>
            <w:r w:rsidRPr="00AA0E84">
              <w:rPr>
                <w:rFonts w:ascii="Times New Roman" w:eastAsia="Times New Roman" w:hAnsi="Times New Roman" w:cs="Times New Roman"/>
                <w:sz w:val="18"/>
                <w:szCs w:val="18"/>
              </w:rPr>
              <w:t>4.</w:t>
            </w:r>
          </w:p>
        </w:tc>
        <w:tc>
          <w:tcPr>
            <w:tcW w:w="3015" w:type="dxa"/>
            <w:tcMar>
              <w:top w:w="0" w:type="dxa"/>
              <w:left w:w="40" w:type="dxa"/>
              <w:bottom w:w="0" w:type="dxa"/>
              <w:right w:w="40" w:type="dxa"/>
            </w:tcMar>
            <w:hideMark/>
          </w:tcPr>
          <w:p w:rsidR="00AA0E84" w:rsidRPr="00AA0E84" w:rsidRDefault="00AA0E84" w:rsidP="00AA0E84">
            <w:pPr>
              <w:spacing w:after="0" w:line="221" w:lineRule="atLeast"/>
              <w:rPr>
                <w:rFonts w:ascii="Times New Roman" w:eastAsia="Times New Roman" w:hAnsi="Times New Roman" w:cs="Times New Roman"/>
                <w:sz w:val="24"/>
                <w:szCs w:val="24"/>
              </w:rPr>
            </w:pPr>
            <w:r w:rsidRPr="00AA0E84">
              <w:rPr>
                <w:rFonts w:ascii="Arial" w:eastAsia="Times New Roman" w:hAnsi="Arial" w:cs="Arial"/>
                <w:sz w:val="18"/>
                <w:szCs w:val="18"/>
              </w:rPr>
              <w:t>JAVNA RASVJETA</w:t>
            </w:r>
          </w:p>
        </w:tc>
        <w:tc>
          <w:tcPr>
            <w:tcW w:w="2355" w:type="dxa"/>
            <w:tcMar>
              <w:top w:w="0" w:type="dxa"/>
              <w:left w:w="40" w:type="dxa"/>
              <w:bottom w:w="0" w:type="dxa"/>
              <w:right w:w="40" w:type="dxa"/>
            </w:tcMar>
            <w:hideMark/>
          </w:tcPr>
          <w:p w:rsidR="00AA0E84" w:rsidRPr="00AA0E84" w:rsidRDefault="00AA0E84" w:rsidP="00AA0E84">
            <w:pPr>
              <w:spacing w:after="0" w:line="221" w:lineRule="atLeast"/>
              <w:rPr>
                <w:rFonts w:ascii="Times New Roman" w:eastAsia="Times New Roman" w:hAnsi="Times New Roman" w:cs="Times New Roman"/>
                <w:sz w:val="24"/>
                <w:szCs w:val="24"/>
              </w:rPr>
            </w:pPr>
            <w:r w:rsidRPr="00AA0E84">
              <w:rPr>
                <w:rFonts w:ascii="Arial" w:eastAsia="Times New Roman" w:hAnsi="Arial" w:cs="Arial"/>
                <w:sz w:val="18"/>
                <w:szCs w:val="18"/>
              </w:rPr>
              <w:t>3,00 kn/m</w:t>
            </w:r>
            <w:r w:rsidRPr="00AA0E84">
              <w:rPr>
                <w:rFonts w:ascii="Arial" w:eastAsia="Times New Roman" w:hAnsi="Arial" w:cs="Arial"/>
                <w:sz w:val="18"/>
                <w:szCs w:val="18"/>
                <w:vertAlign w:val="superscript"/>
              </w:rPr>
              <w:t>3</w:t>
            </w:r>
          </w:p>
        </w:tc>
        <w:tc>
          <w:tcPr>
            <w:tcW w:w="4485" w:type="dxa"/>
            <w:tcMar>
              <w:top w:w="0" w:type="dxa"/>
              <w:left w:w="40" w:type="dxa"/>
              <w:bottom w:w="0" w:type="dxa"/>
              <w:right w:w="40" w:type="dxa"/>
            </w:tcMar>
            <w:hideMark/>
          </w:tcPr>
          <w:p w:rsidR="00AA0E84" w:rsidRPr="00AA0E84" w:rsidRDefault="00AA0E84" w:rsidP="00AA0E84">
            <w:pPr>
              <w:spacing w:after="0" w:line="221" w:lineRule="atLeast"/>
              <w:rPr>
                <w:rFonts w:ascii="Times New Roman" w:eastAsia="Times New Roman" w:hAnsi="Times New Roman" w:cs="Times New Roman"/>
                <w:sz w:val="24"/>
                <w:szCs w:val="24"/>
              </w:rPr>
            </w:pPr>
            <w:r w:rsidRPr="00AA0E84">
              <w:rPr>
                <w:rFonts w:ascii="Arial" w:eastAsia="Times New Roman" w:hAnsi="Arial" w:cs="Arial"/>
                <w:sz w:val="18"/>
                <w:szCs w:val="18"/>
              </w:rPr>
              <w:t>5,00 kn/m</w:t>
            </w:r>
            <w:r w:rsidRPr="00AA0E84">
              <w:rPr>
                <w:rFonts w:ascii="Arial" w:eastAsia="Times New Roman" w:hAnsi="Arial" w:cs="Arial"/>
                <w:sz w:val="18"/>
                <w:szCs w:val="18"/>
                <w:vertAlign w:val="superscript"/>
              </w:rPr>
              <w:t>3</w:t>
            </w:r>
          </w:p>
        </w:tc>
      </w:tr>
    </w:tbl>
    <w:p w:rsidR="00AA0E84" w:rsidRPr="00AA0E84" w:rsidRDefault="00AA0E84" w:rsidP="00AA0E84">
      <w:pPr>
        <w:spacing w:before="15" w:after="15" w:line="240" w:lineRule="auto"/>
        <w:ind w:left="105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t>Komunalni doprinos za klijeti, vikendice, garaže, ljetne kuhinje i pomoćne zgrade koje nisu namijenjene za obavljanje poslovne ili gospodarske djelatnosti, a nisu u sklopu stambenog objekta (zasebno su odvojeni) obračunava se kao stambeni prostor i ne obračunava se groblje.</w:t>
      </w:r>
    </w:p>
    <w:p w:rsidR="00AA0E84" w:rsidRPr="00AA0E84" w:rsidRDefault="00AA0E84" w:rsidP="00AA0E84">
      <w:pPr>
        <w:spacing w:before="15" w:after="15" w:line="240" w:lineRule="auto"/>
        <w:ind w:left="105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t>Kod poslovnih i gospodarskih objekata, i objekata ustanova komunalni doprinos obračunava se prema stupcu 3. iz tabele ovog članka:</w:t>
      </w:r>
    </w:p>
    <w:p w:rsidR="00AA0E84" w:rsidRPr="00AA0E84" w:rsidRDefault="00AA0E84" w:rsidP="00AA0E84">
      <w:pPr>
        <w:spacing w:before="15" w:after="15" w:line="240" w:lineRule="auto"/>
        <w:ind w:left="150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t>- u 100 % iznosa za prostor do 6,00 m visine objekta,</w:t>
      </w:r>
    </w:p>
    <w:p w:rsidR="00AA0E84" w:rsidRPr="00AA0E84" w:rsidRDefault="00AA0E84" w:rsidP="00AA0E84">
      <w:pPr>
        <w:spacing w:before="15" w:after="15" w:line="240" w:lineRule="auto"/>
        <w:ind w:left="150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t>- u 50 % iznosa za prostor koji je iznad 6,00 m do 9,00 m visine objekta, </w:t>
      </w:r>
      <w:r w:rsidRPr="00AA0E84">
        <w:rPr>
          <w:rFonts w:ascii="Arial" w:eastAsia="Times New Roman" w:hAnsi="Arial" w:cs="Arial"/>
          <w:color w:val="000000"/>
          <w:sz w:val="20"/>
          <w:szCs w:val="20"/>
        </w:rPr>
        <w:br/>
        <w:t>- u 25 % iznosa za prostor iznad 9,00 m visine objekta.</w:t>
      </w:r>
    </w:p>
    <w:p w:rsidR="00AA0E84" w:rsidRPr="00AA0E84" w:rsidRDefault="00AA0E84" w:rsidP="00AA0E84">
      <w:pPr>
        <w:spacing w:before="240" w:after="120" w:line="240" w:lineRule="atLeast"/>
        <w:ind w:left="1050" w:right="1050"/>
        <w:jc w:val="center"/>
        <w:rPr>
          <w:rFonts w:ascii="Arial" w:eastAsia="Times New Roman" w:hAnsi="Arial" w:cs="Arial"/>
          <w:b/>
          <w:bCs/>
          <w:color w:val="000000"/>
          <w:sz w:val="20"/>
          <w:szCs w:val="20"/>
        </w:rPr>
      </w:pPr>
      <w:r w:rsidRPr="00AA0E84">
        <w:rPr>
          <w:rFonts w:ascii="Arial" w:eastAsia="Times New Roman" w:hAnsi="Arial" w:cs="Arial"/>
          <w:b/>
          <w:bCs/>
          <w:color w:val="000000"/>
          <w:sz w:val="18"/>
          <w:szCs w:val="18"/>
        </w:rPr>
        <w:t>Članak 6.</w:t>
      </w:r>
    </w:p>
    <w:p w:rsidR="00AA0E84" w:rsidRPr="00AA0E84" w:rsidRDefault="00AA0E84" w:rsidP="00AA0E84">
      <w:pPr>
        <w:spacing w:before="15" w:after="15" w:line="240" w:lineRule="auto"/>
        <w:ind w:left="1200" w:right="1050" w:hanging="150"/>
        <w:jc w:val="both"/>
        <w:rPr>
          <w:rFonts w:ascii="Arial" w:eastAsia="Times New Roman" w:hAnsi="Arial" w:cs="Arial"/>
          <w:color w:val="000000"/>
          <w:sz w:val="20"/>
          <w:szCs w:val="20"/>
        </w:rPr>
      </w:pPr>
      <w:r w:rsidRPr="00AA0E84">
        <w:rPr>
          <w:rFonts w:ascii="Arial" w:eastAsia="Times New Roman" w:hAnsi="Arial" w:cs="Arial"/>
          <w:color w:val="000000"/>
          <w:sz w:val="20"/>
          <w:szCs w:val="20"/>
        </w:rPr>
        <w:t>- U zonama gospodarske namjene K-1, K-2, K-1-3 Božjakovina koje su određene dokumentima prostornog planiranja, komunalni doprinos za poslovne i gospodarske objekte obračunava se prema jediničnim vrijednostima navedenim u stupcu 2. (stambeni prostor) iz tabele u stavku 1. članka (5) samo ukoliko je zemljište na kojem se grade objekti kupljeno od Općine Brckovljani (prvi kupac) te zatražena građevinska dozvola i podmiren komunalni doprinos sukladno rješenju o komunalnom doprinosu u roku od 15 mjeseci od dana stjecanja uvjeta uknjižbe prava vlasništva u korist kupca.</w:t>
      </w:r>
    </w:p>
    <w:p w:rsidR="00AA0E84" w:rsidRPr="00AA0E84" w:rsidRDefault="00AA0E84" w:rsidP="00AA0E84">
      <w:pPr>
        <w:spacing w:before="15" w:after="15" w:line="240" w:lineRule="auto"/>
        <w:ind w:left="1200" w:right="1050" w:hanging="150"/>
        <w:jc w:val="both"/>
        <w:rPr>
          <w:rFonts w:ascii="Arial" w:eastAsia="Times New Roman" w:hAnsi="Arial" w:cs="Arial"/>
          <w:color w:val="000000"/>
          <w:sz w:val="20"/>
          <w:szCs w:val="20"/>
        </w:rPr>
      </w:pPr>
      <w:r w:rsidRPr="00AA0E84">
        <w:rPr>
          <w:rFonts w:ascii="Arial" w:eastAsia="Times New Roman" w:hAnsi="Arial" w:cs="Arial"/>
          <w:color w:val="000000"/>
          <w:sz w:val="20"/>
          <w:szCs w:val="20"/>
        </w:rPr>
        <w:t>- Za objekte u gospodarskoj zoni K-1, K-2, K-1-3 Božjakovina (u vlasništvu iste osobe) koji prelaze brutto površinu zatvorenog prostora iznad 25000 m</w:t>
      </w:r>
      <w:r w:rsidRPr="00AA0E84">
        <w:rPr>
          <w:rFonts w:ascii="Arial" w:eastAsia="Times New Roman" w:hAnsi="Arial" w:cs="Arial"/>
          <w:color w:val="000000"/>
          <w:sz w:val="20"/>
          <w:szCs w:val="20"/>
          <w:vertAlign w:val="superscript"/>
        </w:rPr>
        <w:t>2</w:t>
      </w:r>
      <w:r w:rsidRPr="00AA0E84">
        <w:rPr>
          <w:rFonts w:ascii="Arial" w:eastAsia="Times New Roman" w:hAnsi="Arial" w:cs="Arial"/>
          <w:color w:val="000000"/>
          <w:sz w:val="20"/>
        </w:rPr>
        <w:t> </w:t>
      </w:r>
      <w:r w:rsidRPr="00AA0E84">
        <w:rPr>
          <w:rFonts w:ascii="Arial" w:eastAsia="Times New Roman" w:hAnsi="Arial" w:cs="Arial"/>
          <w:color w:val="000000"/>
          <w:sz w:val="20"/>
          <w:szCs w:val="20"/>
        </w:rPr>
        <w:t>odnosno 150000 m3 utvrđuje se zbirna vrijednost komunalnog doprinosa (javne površine, asfaltna cesta i javna rasvjeta) 25kn/m3 , te iznad 50000 m</w:t>
      </w:r>
      <w:r w:rsidRPr="00AA0E84">
        <w:rPr>
          <w:rFonts w:ascii="Arial" w:eastAsia="Times New Roman" w:hAnsi="Arial" w:cs="Arial"/>
          <w:color w:val="000000"/>
          <w:sz w:val="20"/>
          <w:szCs w:val="20"/>
          <w:vertAlign w:val="superscript"/>
        </w:rPr>
        <w:t>2</w:t>
      </w:r>
      <w:r w:rsidRPr="00AA0E84">
        <w:rPr>
          <w:rFonts w:ascii="Arial" w:eastAsia="Times New Roman" w:hAnsi="Arial" w:cs="Arial"/>
          <w:color w:val="000000"/>
          <w:sz w:val="20"/>
        </w:rPr>
        <w:t> </w:t>
      </w:r>
      <w:r w:rsidRPr="00AA0E84">
        <w:rPr>
          <w:rFonts w:ascii="Arial" w:eastAsia="Times New Roman" w:hAnsi="Arial" w:cs="Arial"/>
          <w:color w:val="000000"/>
          <w:sz w:val="20"/>
          <w:szCs w:val="20"/>
        </w:rPr>
        <w:t>odnosno 300000 m3 utvrđuje se zbirna vrijednost komunalnog doprinosa 20kn/m3 .</w:t>
      </w:r>
    </w:p>
    <w:p w:rsidR="00AA0E84" w:rsidRPr="00AA0E84" w:rsidRDefault="00AA0E84" w:rsidP="00AA0E84">
      <w:pPr>
        <w:spacing w:before="15" w:after="15" w:line="240" w:lineRule="auto"/>
        <w:ind w:left="1200" w:right="1050" w:hanging="150"/>
        <w:jc w:val="both"/>
        <w:rPr>
          <w:rFonts w:ascii="Arial" w:eastAsia="Times New Roman" w:hAnsi="Arial" w:cs="Arial"/>
          <w:color w:val="000000"/>
          <w:sz w:val="20"/>
          <w:szCs w:val="20"/>
        </w:rPr>
      </w:pPr>
      <w:r w:rsidRPr="00AA0E84">
        <w:rPr>
          <w:rFonts w:ascii="Arial" w:eastAsia="Times New Roman" w:hAnsi="Arial" w:cs="Arial"/>
          <w:color w:val="000000"/>
          <w:sz w:val="20"/>
          <w:szCs w:val="20"/>
        </w:rPr>
        <w:t>- Svima koji ne zadovoljavaju uvjete iz stavka 1. članka 6. komunalni doprinos obračunava se prema vrijednostima u stupcu 3. stavka 1. članka 5.</w:t>
      </w:r>
    </w:p>
    <w:p w:rsidR="00AA0E84" w:rsidRPr="00AA0E84" w:rsidRDefault="00AA0E84" w:rsidP="00AA0E84">
      <w:pPr>
        <w:spacing w:before="15" w:after="15" w:line="240" w:lineRule="auto"/>
        <w:ind w:left="1200" w:right="1050" w:hanging="150"/>
        <w:jc w:val="both"/>
        <w:rPr>
          <w:rFonts w:ascii="Arial" w:eastAsia="Times New Roman" w:hAnsi="Arial" w:cs="Arial"/>
          <w:color w:val="000000"/>
          <w:sz w:val="20"/>
          <w:szCs w:val="20"/>
        </w:rPr>
      </w:pPr>
      <w:r w:rsidRPr="00AA0E84">
        <w:rPr>
          <w:rFonts w:ascii="Arial" w:eastAsia="Times New Roman" w:hAnsi="Arial" w:cs="Arial"/>
          <w:color w:val="000000"/>
          <w:sz w:val="20"/>
          <w:szCs w:val="20"/>
        </w:rPr>
        <w:t>- Za poslovne i gospodarske objekte ne obračunava se komunalni doprinos za groblje, a za javnu rasvjetu za prostor iznad 6 m visine objekta.</w:t>
      </w:r>
    </w:p>
    <w:p w:rsidR="00AA0E84" w:rsidRPr="00AA0E84" w:rsidRDefault="00AA0E84" w:rsidP="00AA0E84">
      <w:pPr>
        <w:spacing w:before="360" w:after="240" w:line="240" w:lineRule="atLeast"/>
        <w:ind w:left="1050" w:right="1050"/>
        <w:rPr>
          <w:rFonts w:ascii="Arial" w:eastAsia="Times New Roman" w:hAnsi="Arial" w:cs="Arial"/>
          <w:b/>
          <w:bCs/>
          <w:color w:val="000000"/>
          <w:sz w:val="20"/>
          <w:szCs w:val="20"/>
        </w:rPr>
      </w:pPr>
      <w:r w:rsidRPr="00AA0E84">
        <w:rPr>
          <w:rFonts w:ascii="Arial" w:eastAsia="Times New Roman" w:hAnsi="Arial" w:cs="Arial"/>
          <w:b/>
          <w:bCs/>
          <w:color w:val="000000"/>
          <w:sz w:val="20"/>
          <w:szCs w:val="20"/>
        </w:rPr>
        <w:t>IV. NAČIN I ROKOVI PLAĆANJA KOMUNALNOG DOPRINOSA</w:t>
      </w:r>
    </w:p>
    <w:p w:rsidR="00AA0E84" w:rsidRPr="00AA0E84" w:rsidRDefault="00AA0E84" w:rsidP="00AA0E84">
      <w:pPr>
        <w:spacing w:before="240" w:after="120" w:line="240" w:lineRule="atLeast"/>
        <w:ind w:left="1050" w:right="1050"/>
        <w:jc w:val="center"/>
        <w:rPr>
          <w:rFonts w:ascii="Arial" w:eastAsia="Times New Roman" w:hAnsi="Arial" w:cs="Arial"/>
          <w:b/>
          <w:bCs/>
          <w:color w:val="000000"/>
          <w:sz w:val="20"/>
          <w:szCs w:val="20"/>
        </w:rPr>
      </w:pPr>
      <w:r w:rsidRPr="00AA0E84">
        <w:rPr>
          <w:rFonts w:ascii="Arial" w:eastAsia="Times New Roman" w:hAnsi="Arial" w:cs="Arial"/>
          <w:b/>
          <w:bCs/>
          <w:color w:val="000000"/>
          <w:sz w:val="18"/>
          <w:szCs w:val="18"/>
        </w:rPr>
        <w:t>Članak 7.</w:t>
      </w:r>
    </w:p>
    <w:p w:rsidR="00AA0E84" w:rsidRPr="00AA0E84" w:rsidRDefault="00AA0E84" w:rsidP="00AA0E84">
      <w:pPr>
        <w:spacing w:before="15" w:after="15" w:line="240" w:lineRule="auto"/>
        <w:ind w:left="105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t>Komunalni doprinos obračunava se u skladu s obujmom, odnosno po m3 (prostornom metru) građevine koja se gradi na građevnoj čestici, a kod građevine koja se uklanja zbog gradnje nove građevine ili kada se postojeća građevina dograđuje, komunalni se doprinos obračunava na razliku u obujmu u odnosu na prijašnju građevinu ukoliko je postojeća građevina imala građevinsku dozvolu.</w:t>
      </w:r>
    </w:p>
    <w:p w:rsidR="00AA0E84" w:rsidRPr="00AA0E84" w:rsidRDefault="00AA0E84" w:rsidP="00AA0E84">
      <w:pPr>
        <w:spacing w:before="240" w:after="120" w:line="240" w:lineRule="atLeast"/>
        <w:ind w:left="1050" w:right="1050"/>
        <w:jc w:val="center"/>
        <w:rPr>
          <w:rFonts w:ascii="Arial" w:eastAsia="Times New Roman" w:hAnsi="Arial" w:cs="Arial"/>
          <w:b/>
          <w:bCs/>
          <w:color w:val="000000"/>
          <w:sz w:val="20"/>
          <w:szCs w:val="20"/>
        </w:rPr>
      </w:pPr>
      <w:r w:rsidRPr="00AA0E84">
        <w:rPr>
          <w:rFonts w:ascii="Arial" w:eastAsia="Times New Roman" w:hAnsi="Arial" w:cs="Arial"/>
          <w:b/>
          <w:bCs/>
          <w:color w:val="000000"/>
          <w:sz w:val="18"/>
          <w:szCs w:val="18"/>
        </w:rPr>
        <w:t>Članak 8.</w:t>
      </w:r>
    </w:p>
    <w:p w:rsidR="00AA0E84" w:rsidRPr="00AA0E84" w:rsidRDefault="00AA0E84" w:rsidP="00AA0E84">
      <w:pPr>
        <w:spacing w:before="15" w:after="15" w:line="240" w:lineRule="auto"/>
        <w:ind w:left="105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t>Iznimno od odredbe članka 7. ove Odluke, za otvorene bazene, otvorena igrališta, skladišta i druge otvorene građevine komunalni se doprinos obračunava po m2 tlocrtne površine te građevine, pri čemu je jedinična vrijednost komunalnog doprinosa za obračun njezine površine po m2 izražena u kunama jednaka jediničnoj vrijednosti komunalnog doprinosa za obračun obujma po m3 građevine prema članku 5. stavak I, 3. stupac, ove Odluke.</w:t>
      </w:r>
    </w:p>
    <w:p w:rsidR="00AA0E84" w:rsidRPr="00AA0E84" w:rsidRDefault="00AA0E84" w:rsidP="00AA0E84">
      <w:pPr>
        <w:spacing w:before="240" w:after="120" w:line="240" w:lineRule="atLeast"/>
        <w:ind w:left="1050" w:right="1050"/>
        <w:jc w:val="center"/>
        <w:rPr>
          <w:rFonts w:ascii="Arial" w:eastAsia="Times New Roman" w:hAnsi="Arial" w:cs="Arial"/>
          <w:b/>
          <w:bCs/>
          <w:color w:val="000000"/>
          <w:sz w:val="20"/>
          <w:szCs w:val="20"/>
        </w:rPr>
      </w:pPr>
      <w:r w:rsidRPr="00AA0E84">
        <w:rPr>
          <w:rFonts w:ascii="Arial" w:eastAsia="Times New Roman" w:hAnsi="Arial" w:cs="Arial"/>
          <w:b/>
          <w:bCs/>
          <w:color w:val="000000"/>
          <w:sz w:val="18"/>
          <w:szCs w:val="18"/>
        </w:rPr>
        <w:t>Članak 9.</w:t>
      </w:r>
    </w:p>
    <w:p w:rsidR="00AA0E84" w:rsidRPr="00AA0E84" w:rsidRDefault="00AA0E84" w:rsidP="00AA0E84">
      <w:pPr>
        <w:spacing w:before="15" w:after="15" w:line="240" w:lineRule="auto"/>
        <w:ind w:left="105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t>Ako građevinska čestica na kojoj postoji ili će se graditi građevina za koju se obračunava komunalni doprinos ima mogućnost priključenja na više cesta različite kvalitete kolnika, tada se za istu građevinu obračunava komunalni doprinos za izgradnju ceste za onu cestu koja ima bolju kvalitetu kolnika".</w:t>
      </w:r>
    </w:p>
    <w:p w:rsidR="00AA0E84" w:rsidRPr="00AA0E84" w:rsidRDefault="00AA0E84" w:rsidP="00AA0E84">
      <w:pPr>
        <w:spacing w:before="240" w:after="120" w:line="240" w:lineRule="atLeast"/>
        <w:ind w:left="1050" w:right="1050"/>
        <w:jc w:val="center"/>
        <w:rPr>
          <w:rFonts w:ascii="Arial" w:eastAsia="Times New Roman" w:hAnsi="Arial" w:cs="Arial"/>
          <w:b/>
          <w:bCs/>
          <w:color w:val="000000"/>
          <w:sz w:val="20"/>
          <w:szCs w:val="20"/>
        </w:rPr>
      </w:pPr>
      <w:r w:rsidRPr="00AA0E84">
        <w:rPr>
          <w:rFonts w:ascii="Arial" w:eastAsia="Times New Roman" w:hAnsi="Arial" w:cs="Arial"/>
          <w:b/>
          <w:bCs/>
          <w:color w:val="000000"/>
          <w:sz w:val="18"/>
          <w:szCs w:val="18"/>
        </w:rPr>
        <w:lastRenderedPageBreak/>
        <w:t>Članak 10.</w:t>
      </w:r>
    </w:p>
    <w:p w:rsidR="00AA0E84" w:rsidRPr="00AA0E84" w:rsidRDefault="00AA0E84" w:rsidP="00AA0E84">
      <w:pPr>
        <w:spacing w:before="15" w:after="15" w:line="240" w:lineRule="auto"/>
        <w:ind w:left="105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t>Komunalni doprinos plaća se na osnovu rješenja kojeg donosi Upravni odjel Općine Brckovljani u postupku pokrenutom po zahtjevu stranke ili po službenoj dužnosti. Rješenje iz stavka 1. ovog članka obavezno sadrži:</w:t>
      </w:r>
    </w:p>
    <w:p w:rsidR="00AA0E84" w:rsidRPr="00AA0E84" w:rsidRDefault="00AA0E84" w:rsidP="00AA0E84">
      <w:pPr>
        <w:spacing w:before="15" w:after="15" w:line="240" w:lineRule="auto"/>
        <w:ind w:left="150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t>- iznos sredstava komunalnog doprinosa koji je obveznik dužan platiti, </w:t>
      </w:r>
      <w:r w:rsidRPr="00AA0E84">
        <w:rPr>
          <w:rFonts w:ascii="Arial" w:eastAsia="Times New Roman" w:hAnsi="Arial" w:cs="Arial"/>
          <w:color w:val="000000"/>
          <w:sz w:val="20"/>
          <w:szCs w:val="20"/>
        </w:rPr>
        <w:br/>
        <w:t>- način i rokove plaćanja komunalnog doprinosa, </w:t>
      </w:r>
      <w:r w:rsidRPr="00AA0E84">
        <w:rPr>
          <w:rFonts w:ascii="Arial" w:eastAsia="Times New Roman" w:hAnsi="Arial" w:cs="Arial"/>
          <w:color w:val="000000"/>
          <w:sz w:val="20"/>
          <w:szCs w:val="20"/>
        </w:rPr>
        <w:br/>
        <w:t>- prikaz načina obračuna komunalnog doprinosa za građevinu koja se gradi, </w:t>
      </w:r>
      <w:r w:rsidRPr="00AA0E84">
        <w:rPr>
          <w:rFonts w:ascii="Arial" w:eastAsia="Times New Roman" w:hAnsi="Arial" w:cs="Arial"/>
          <w:color w:val="000000"/>
          <w:sz w:val="20"/>
          <w:szCs w:val="20"/>
        </w:rPr>
        <w:br/>
        <w:t>- popis i rok izgradnje objekata i uređaja komunalne infrastrukture, </w:t>
      </w:r>
      <w:r w:rsidRPr="00AA0E84">
        <w:rPr>
          <w:rFonts w:ascii="Arial" w:eastAsia="Times New Roman" w:hAnsi="Arial" w:cs="Arial"/>
          <w:color w:val="000000"/>
          <w:sz w:val="20"/>
          <w:szCs w:val="20"/>
        </w:rPr>
        <w:br/>
        <w:t>- obvezu povrata sredstava ako Općina Brckovljani ne izvrši svoju obavezu.</w:t>
      </w:r>
    </w:p>
    <w:p w:rsidR="00AA0E84" w:rsidRPr="00AA0E84" w:rsidRDefault="00AA0E84" w:rsidP="00AA0E84">
      <w:pPr>
        <w:spacing w:before="240" w:after="120" w:line="240" w:lineRule="atLeast"/>
        <w:ind w:left="1050" w:right="1050"/>
        <w:jc w:val="center"/>
        <w:rPr>
          <w:rFonts w:ascii="Arial" w:eastAsia="Times New Roman" w:hAnsi="Arial" w:cs="Arial"/>
          <w:b/>
          <w:bCs/>
          <w:color w:val="000000"/>
          <w:sz w:val="20"/>
          <w:szCs w:val="20"/>
        </w:rPr>
      </w:pPr>
      <w:r w:rsidRPr="00AA0E84">
        <w:rPr>
          <w:rFonts w:ascii="Arial" w:eastAsia="Times New Roman" w:hAnsi="Arial" w:cs="Arial"/>
          <w:b/>
          <w:bCs/>
          <w:color w:val="000000"/>
          <w:sz w:val="18"/>
          <w:szCs w:val="18"/>
        </w:rPr>
        <w:t>Članak 11.</w:t>
      </w:r>
    </w:p>
    <w:p w:rsidR="00AA0E84" w:rsidRPr="00AA0E84" w:rsidRDefault="00AA0E84" w:rsidP="00AA0E84">
      <w:pPr>
        <w:spacing w:before="15" w:after="15" w:line="240" w:lineRule="auto"/>
        <w:ind w:left="105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t>Obveznik komunalnog doprinosa plaća komunalni doprinos odjednom ili najviše u tri (3) rate na žiro račun proračuna Općine Brckovljani broj: 2360000-1803300002. Iznos jedne rate iz stavka 1. ovog članka ne može biti manji od 1.000,00 kuna.</w:t>
      </w:r>
    </w:p>
    <w:p w:rsidR="00AA0E84" w:rsidRPr="00AA0E84" w:rsidRDefault="00AA0E84" w:rsidP="00AA0E84">
      <w:pPr>
        <w:spacing w:before="240" w:after="120" w:line="240" w:lineRule="atLeast"/>
        <w:ind w:left="1050" w:right="1050"/>
        <w:jc w:val="center"/>
        <w:rPr>
          <w:rFonts w:ascii="Arial" w:eastAsia="Times New Roman" w:hAnsi="Arial" w:cs="Arial"/>
          <w:b/>
          <w:bCs/>
          <w:color w:val="000000"/>
          <w:sz w:val="20"/>
          <w:szCs w:val="20"/>
        </w:rPr>
      </w:pPr>
      <w:r w:rsidRPr="00AA0E84">
        <w:rPr>
          <w:rFonts w:ascii="Arial" w:eastAsia="Times New Roman" w:hAnsi="Arial" w:cs="Arial"/>
          <w:b/>
          <w:bCs/>
          <w:color w:val="000000"/>
          <w:sz w:val="18"/>
          <w:szCs w:val="18"/>
        </w:rPr>
        <w:t>Članak 12.</w:t>
      </w:r>
    </w:p>
    <w:p w:rsidR="00AA0E84" w:rsidRPr="00AA0E84" w:rsidRDefault="00AA0E84" w:rsidP="00AA0E84">
      <w:pPr>
        <w:spacing w:before="15" w:after="15" w:line="240" w:lineRule="auto"/>
        <w:ind w:left="105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t>Izvršno rješenje o komunalnom doprinosu izvršava upravni odjel Općine Brckovljani u postupku i na način određen propisima o prisilnoj naplati poreza na dohodak odnosno dobit.</w:t>
      </w:r>
    </w:p>
    <w:p w:rsidR="00AA0E84" w:rsidRPr="00AA0E84" w:rsidRDefault="00AA0E84" w:rsidP="00AA0E84">
      <w:pPr>
        <w:spacing w:before="240" w:after="120" w:line="240" w:lineRule="atLeast"/>
        <w:ind w:left="1050" w:right="1050"/>
        <w:jc w:val="center"/>
        <w:rPr>
          <w:rFonts w:ascii="Arial" w:eastAsia="Times New Roman" w:hAnsi="Arial" w:cs="Arial"/>
          <w:b/>
          <w:bCs/>
          <w:color w:val="000000"/>
          <w:sz w:val="20"/>
          <w:szCs w:val="20"/>
        </w:rPr>
      </w:pPr>
      <w:r w:rsidRPr="00AA0E84">
        <w:rPr>
          <w:rFonts w:ascii="Arial" w:eastAsia="Times New Roman" w:hAnsi="Arial" w:cs="Arial"/>
          <w:b/>
          <w:bCs/>
          <w:color w:val="000000"/>
          <w:sz w:val="18"/>
          <w:szCs w:val="18"/>
        </w:rPr>
        <w:t>Članak 13.</w:t>
      </w:r>
    </w:p>
    <w:p w:rsidR="00AA0E84" w:rsidRPr="00AA0E84" w:rsidRDefault="00AA0E84" w:rsidP="00AA0E84">
      <w:pPr>
        <w:spacing w:before="15" w:after="15" w:line="240" w:lineRule="auto"/>
        <w:ind w:left="105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t>Upravni odjel općine Brckovljani izdat će potvrdu o plaćenom komunalnom doprinosu tek kada je vlasnik građevine ili građevinske čestice obveznik komunalnog doprinosa podmirio obveze iz rješenja o komunalnom doprinosu i sva dospjela dugovanja prema Općini Brckovljani (komunalna naknada, naknada za održavanje groblja, obveze prema posebnom ugovoru o sufinanciranju izgradnje komunalnih objekata i uređaja i slično).</w:t>
      </w:r>
    </w:p>
    <w:p w:rsidR="00AA0E84" w:rsidRPr="00AA0E84" w:rsidRDefault="00AA0E84" w:rsidP="00AA0E84">
      <w:pPr>
        <w:spacing w:before="360" w:after="240" w:line="240" w:lineRule="atLeast"/>
        <w:ind w:left="1050" w:right="1050"/>
        <w:rPr>
          <w:rFonts w:ascii="Arial" w:eastAsia="Times New Roman" w:hAnsi="Arial" w:cs="Arial"/>
          <w:b/>
          <w:bCs/>
          <w:color w:val="000000"/>
          <w:sz w:val="20"/>
          <w:szCs w:val="20"/>
        </w:rPr>
      </w:pPr>
      <w:r w:rsidRPr="00AA0E84">
        <w:rPr>
          <w:rFonts w:ascii="Arial" w:eastAsia="Times New Roman" w:hAnsi="Arial" w:cs="Arial"/>
          <w:b/>
          <w:bCs/>
          <w:color w:val="000000"/>
          <w:sz w:val="20"/>
          <w:szCs w:val="20"/>
        </w:rPr>
        <w:t>V. POVLASTICE KOD PLAĆANJA KOMUNALNOG DOPRINOSA</w:t>
      </w:r>
    </w:p>
    <w:p w:rsidR="00AA0E84" w:rsidRPr="00AA0E84" w:rsidRDefault="00AA0E84" w:rsidP="00AA0E84">
      <w:pPr>
        <w:spacing w:before="240" w:after="120" w:line="240" w:lineRule="atLeast"/>
        <w:ind w:left="1050" w:right="1050"/>
        <w:jc w:val="center"/>
        <w:rPr>
          <w:rFonts w:ascii="Arial" w:eastAsia="Times New Roman" w:hAnsi="Arial" w:cs="Arial"/>
          <w:b/>
          <w:bCs/>
          <w:color w:val="000000"/>
          <w:sz w:val="20"/>
          <w:szCs w:val="20"/>
        </w:rPr>
      </w:pPr>
      <w:r w:rsidRPr="00AA0E84">
        <w:rPr>
          <w:rFonts w:ascii="Arial" w:eastAsia="Times New Roman" w:hAnsi="Arial" w:cs="Arial"/>
          <w:b/>
          <w:bCs/>
          <w:color w:val="000000"/>
          <w:sz w:val="18"/>
          <w:szCs w:val="18"/>
        </w:rPr>
        <w:t>Članak 14.</w:t>
      </w:r>
    </w:p>
    <w:p w:rsidR="00AA0E84" w:rsidRPr="00AA0E84" w:rsidRDefault="00AA0E84" w:rsidP="00AA0E84">
      <w:pPr>
        <w:spacing w:before="15" w:after="15" w:line="240" w:lineRule="auto"/>
        <w:ind w:left="1200" w:right="1050" w:hanging="150"/>
        <w:jc w:val="both"/>
        <w:rPr>
          <w:rFonts w:ascii="Arial" w:eastAsia="Times New Roman" w:hAnsi="Arial" w:cs="Arial"/>
          <w:color w:val="000000"/>
          <w:sz w:val="20"/>
          <w:szCs w:val="20"/>
        </w:rPr>
      </w:pPr>
      <w:r w:rsidRPr="00AA0E84">
        <w:rPr>
          <w:rFonts w:ascii="Arial" w:eastAsia="Times New Roman" w:hAnsi="Arial" w:cs="Arial"/>
          <w:color w:val="000000"/>
          <w:sz w:val="20"/>
          <w:szCs w:val="20"/>
        </w:rPr>
        <w:t>- Vlasnici građevinskih čestica i drugih objekata, investitori koji su samodoprinosom ili na drugi način sudjelovali u financiranju gradnje pojedinih objekata i uređaja komunalne infrastrukture, kod utvrđivanja troškova imaju pravo na umanjenje troškova za iznos sredstava kojima su sudjelovali u financiranju izgradnje tih objekata.</w:t>
      </w:r>
    </w:p>
    <w:p w:rsidR="00AA0E84" w:rsidRPr="00AA0E84" w:rsidRDefault="00AA0E84" w:rsidP="00AA0E84">
      <w:pPr>
        <w:spacing w:before="15" w:after="15" w:line="240" w:lineRule="auto"/>
        <w:ind w:left="1200" w:right="1050" w:hanging="150"/>
        <w:jc w:val="both"/>
        <w:rPr>
          <w:rFonts w:ascii="Arial" w:eastAsia="Times New Roman" w:hAnsi="Arial" w:cs="Arial"/>
          <w:color w:val="000000"/>
          <w:sz w:val="20"/>
          <w:szCs w:val="20"/>
        </w:rPr>
      </w:pPr>
      <w:r w:rsidRPr="00AA0E84">
        <w:rPr>
          <w:rFonts w:ascii="Arial" w:eastAsia="Times New Roman" w:hAnsi="Arial" w:cs="Arial"/>
          <w:color w:val="000000"/>
          <w:sz w:val="20"/>
          <w:szCs w:val="20"/>
        </w:rPr>
        <w:t>- Uz zahtjev za povlasticu plaćanja komunalnog doprinosa prema stavku 1. ovog članka vlasnik građevinske čestice ili drugog objekta treba priložiti dokaze o uplati. Vlasnici građevinskih čestica i drugih objekata te njihov prvi nasljedni red (sin ili kći) ako su živjeli s roditeljima i stalnim prebivalište na području Općine Brckovljani od 1981. godine, a koji su plaćali samodoprinos za izgradnju komunalne infrastrukture, oslobođeni su plaćanja komunalnog doprinosa u iznosu umanjenom za 5% za svaku godinu plaćanja samodoprinosa, do ukupno 50%.</w:t>
      </w:r>
    </w:p>
    <w:p w:rsidR="00AA0E84" w:rsidRPr="00AA0E84" w:rsidRDefault="00AA0E84" w:rsidP="00AA0E84">
      <w:pPr>
        <w:spacing w:before="15" w:after="15" w:line="240" w:lineRule="auto"/>
        <w:ind w:left="1200" w:right="1050" w:hanging="150"/>
        <w:jc w:val="both"/>
        <w:rPr>
          <w:rFonts w:ascii="Arial" w:eastAsia="Times New Roman" w:hAnsi="Arial" w:cs="Arial"/>
          <w:color w:val="000000"/>
          <w:sz w:val="20"/>
          <w:szCs w:val="20"/>
        </w:rPr>
      </w:pPr>
      <w:r w:rsidRPr="00AA0E84">
        <w:rPr>
          <w:rFonts w:ascii="Arial" w:eastAsia="Times New Roman" w:hAnsi="Arial" w:cs="Arial"/>
          <w:color w:val="000000"/>
          <w:sz w:val="20"/>
          <w:szCs w:val="20"/>
        </w:rPr>
        <w:t>- Dokaz za plaćanje samodoprinosa je potvrda o prebivalištu izdana od MUP-a te potvrda o plaćanju samodoprinosa izdana od poduzeća, porezne uprave, mirovinskog osiguranja i drugi za razdoblje od 1981-1991. godine.</w:t>
      </w:r>
    </w:p>
    <w:p w:rsidR="00AA0E84" w:rsidRPr="00AA0E84" w:rsidRDefault="00AA0E84" w:rsidP="00AA0E84">
      <w:pPr>
        <w:spacing w:before="15" w:after="15" w:line="240" w:lineRule="auto"/>
        <w:ind w:left="1200" w:right="1050" w:hanging="150"/>
        <w:jc w:val="both"/>
        <w:rPr>
          <w:rFonts w:ascii="Arial" w:eastAsia="Times New Roman" w:hAnsi="Arial" w:cs="Arial"/>
          <w:color w:val="000000"/>
          <w:sz w:val="20"/>
          <w:szCs w:val="20"/>
        </w:rPr>
      </w:pPr>
      <w:r w:rsidRPr="00AA0E84">
        <w:rPr>
          <w:rFonts w:ascii="Arial" w:eastAsia="Times New Roman" w:hAnsi="Arial" w:cs="Arial"/>
          <w:color w:val="000000"/>
          <w:sz w:val="20"/>
          <w:szCs w:val="20"/>
        </w:rPr>
        <w:t>- Umanjenje komunalnog doprinosa temeljem samodoprinosa iz stavka 3. ovog članka ne priznaje se investitorima za objekte poslovne ili gospodarske namjene.</w:t>
      </w:r>
    </w:p>
    <w:p w:rsidR="00AA0E84" w:rsidRPr="00AA0E84" w:rsidRDefault="00AA0E84" w:rsidP="00AA0E84">
      <w:pPr>
        <w:spacing w:before="240" w:after="120" w:line="240" w:lineRule="atLeast"/>
        <w:ind w:left="1050" w:right="1050"/>
        <w:jc w:val="center"/>
        <w:rPr>
          <w:rFonts w:ascii="Arial" w:eastAsia="Times New Roman" w:hAnsi="Arial" w:cs="Arial"/>
          <w:b/>
          <w:bCs/>
          <w:color w:val="000000"/>
          <w:sz w:val="20"/>
          <w:szCs w:val="20"/>
        </w:rPr>
      </w:pPr>
      <w:r w:rsidRPr="00AA0E84">
        <w:rPr>
          <w:rFonts w:ascii="Arial" w:eastAsia="Times New Roman" w:hAnsi="Arial" w:cs="Arial"/>
          <w:b/>
          <w:bCs/>
          <w:color w:val="000000"/>
          <w:sz w:val="18"/>
          <w:szCs w:val="18"/>
        </w:rPr>
        <w:t>Članak 15.</w:t>
      </w:r>
    </w:p>
    <w:p w:rsidR="00AA0E84" w:rsidRPr="00AA0E84" w:rsidRDefault="00AA0E84" w:rsidP="00AA0E84">
      <w:pPr>
        <w:spacing w:before="15" w:after="15" w:line="240" w:lineRule="auto"/>
        <w:ind w:left="105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lastRenderedPageBreak/>
        <w:t>Općinsko vijeće Općine Brckovljani na prijedlog Poglavarstva Općine Brckovljani može djelomično ili potpuno osloboditi obveznike plaćanja komunalnog doprinosa po pismenom zahtjevu istog.</w:t>
      </w:r>
    </w:p>
    <w:p w:rsidR="00AA0E84" w:rsidRPr="00AA0E84" w:rsidRDefault="00AA0E84" w:rsidP="00AA0E84">
      <w:pPr>
        <w:spacing w:before="240" w:after="120" w:line="240" w:lineRule="atLeast"/>
        <w:ind w:left="1050" w:right="1050"/>
        <w:jc w:val="center"/>
        <w:rPr>
          <w:rFonts w:ascii="Arial" w:eastAsia="Times New Roman" w:hAnsi="Arial" w:cs="Arial"/>
          <w:b/>
          <w:bCs/>
          <w:color w:val="000000"/>
          <w:sz w:val="20"/>
          <w:szCs w:val="20"/>
        </w:rPr>
      </w:pPr>
      <w:r w:rsidRPr="00AA0E84">
        <w:rPr>
          <w:rFonts w:ascii="Arial" w:eastAsia="Times New Roman" w:hAnsi="Arial" w:cs="Arial"/>
          <w:b/>
          <w:bCs/>
          <w:color w:val="000000"/>
          <w:sz w:val="18"/>
          <w:szCs w:val="18"/>
        </w:rPr>
        <w:t>Članak 16.</w:t>
      </w:r>
    </w:p>
    <w:p w:rsidR="00AA0E84" w:rsidRPr="00AA0E84" w:rsidRDefault="00AA0E84" w:rsidP="00AA0E84">
      <w:pPr>
        <w:spacing w:before="15" w:after="15" w:line="240" w:lineRule="auto"/>
        <w:ind w:left="105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t>U slučajevima kada Općina Brckovljani i "Komunalac Brckovljani" d.o.o. budu investitori izgradnje građevine za vlastite potrebe tada Općina Brckovljani i "Komunalac Brckovljani" d.o.o. nisu obveznici plaćanja komunalnog doprinosa.</w:t>
      </w:r>
    </w:p>
    <w:p w:rsidR="00AA0E84" w:rsidRPr="00AA0E84" w:rsidRDefault="00AA0E84" w:rsidP="00AA0E84">
      <w:pPr>
        <w:spacing w:before="360" w:after="240" w:line="240" w:lineRule="atLeast"/>
        <w:ind w:left="1050" w:right="1050"/>
        <w:rPr>
          <w:rFonts w:ascii="Arial" w:eastAsia="Times New Roman" w:hAnsi="Arial" w:cs="Arial"/>
          <w:b/>
          <w:bCs/>
          <w:color w:val="000000"/>
          <w:sz w:val="20"/>
          <w:szCs w:val="20"/>
        </w:rPr>
      </w:pPr>
      <w:r w:rsidRPr="00AA0E84">
        <w:rPr>
          <w:rFonts w:ascii="Arial" w:eastAsia="Times New Roman" w:hAnsi="Arial" w:cs="Arial"/>
          <w:b/>
          <w:bCs/>
          <w:color w:val="000000"/>
          <w:sz w:val="20"/>
          <w:szCs w:val="20"/>
        </w:rPr>
        <w:t>VI. IZVORI SREDSTAVA U SLUČAJU OSLOBAĐANJA OD PLAĆANJA KOMUNALNOG DOPRINOSA</w:t>
      </w:r>
    </w:p>
    <w:p w:rsidR="00AA0E84" w:rsidRPr="00AA0E84" w:rsidRDefault="00AA0E84" w:rsidP="00AA0E84">
      <w:pPr>
        <w:spacing w:before="240" w:after="120" w:line="240" w:lineRule="atLeast"/>
        <w:ind w:left="1050" w:right="1050"/>
        <w:jc w:val="center"/>
        <w:rPr>
          <w:rFonts w:ascii="Arial" w:eastAsia="Times New Roman" w:hAnsi="Arial" w:cs="Arial"/>
          <w:b/>
          <w:bCs/>
          <w:color w:val="000000"/>
          <w:sz w:val="20"/>
          <w:szCs w:val="20"/>
        </w:rPr>
      </w:pPr>
      <w:r w:rsidRPr="00AA0E84">
        <w:rPr>
          <w:rFonts w:ascii="Arial" w:eastAsia="Times New Roman" w:hAnsi="Arial" w:cs="Arial"/>
          <w:b/>
          <w:bCs/>
          <w:color w:val="000000"/>
          <w:sz w:val="18"/>
          <w:szCs w:val="18"/>
        </w:rPr>
        <w:t>Članak 17.</w:t>
      </w:r>
    </w:p>
    <w:p w:rsidR="00AA0E84" w:rsidRPr="00AA0E84" w:rsidRDefault="00AA0E84" w:rsidP="00AA0E84">
      <w:pPr>
        <w:spacing w:before="15" w:after="15" w:line="240" w:lineRule="auto"/>
        <w:ind w:left="105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t>U slučaju oslobađanja od plaćanja komunalnog doprinosa iz članka 15. i 16. ove Odluke, sredstva potrebna za izgradnju objekata i uređaja komunalne infrastrukture iz stavka 1. članka 22. Zakona o komunalnom gospodarstvu, osigurati će se u proračunu Općine Brckovljani.</w:t>
      </w:r>
    </w:p>
    <w:p w:rsidR="00AA0E84" w:rsidRPr="00AA0E84" w:rsidRDefault="00AA0E84" w:rsidP="00AA0E84">
      <w:pPr>
        <w:spacing w:before="360" w:after="240" w:line="240" w:lineRule="atLeast"/>
        <w:ind w:left="1050" w:right="1050"/>
        <w:rPr>
          <w:rFonts w:ascii="Arial" w:eastAsia="Times New Roman" w:hAnsi="Arial" w:cs="Arial"/>
          <w:b/>
          <w:bCs/>
          <w:color w:val="000000"/>
          <w:sz w:val="20"/>
          <w:szCs w:val="20"/>
        </w:rPr>
      </w:pPr>
      <w:r w:rsidRPr="00AA0E84">
        <w:rPr>
          <w:rFonts w:ascii="Arial" w:eastAsia="Times New Roman" w:hAnsi="Arial" w:cs="Arial"/>
          <w:b/>
          <w:bCs/>
          <w:color w:val="000000"/>
          <w:sz w:val="20"/>
          <w:szCs w:val="20"/>
        </w:rPr>
        <w:t>VII. PRIJELAZNE I ZAVRŠNE ODREDBE</w:t>
      </w:r>
    </w:p>
    <w:p w:rsidR="00AA0E84" w:rsidRPr="00AA0E84" w:rsidRDefault="00AA0E84" w:rsidP="00AA0E84">
      <w:pPr>
        <w:spacing w:before="240" w:after="120" w:line="240" w:lineRule="atLeast"/>
        <w:ind w:left="1050" w:right="1050"/>
        <w:jc w:val="center"/>
        <w:rPr>
          <w:rFonts w:ascii="Arial" w:eastAsia="Times New Roman" w:hAnsi="Arial" w:cs="Arial"/>
          <w:b/>
          <w:bCs/>
          <w:color w:val="000000"/>
          <w:sz w:val="20"/>
          <w:szCs w:val="20"/>
        </w:rPr>
      </w:pPr>
      <w:r w:rsidRPr="00AA0E84">
        <w:rPr>
          <w:rFonts w:ascii="Arial" w:eastAsia="Times New Roman" w:hAnsi="Arial" w:cs="Arial"/>
          <w:b/>
          <w:bCs/>
          <w:color w:val="000000"/>
          <w:sz w:val="18"/>
          <w:szCs w:val="18"/>
        </w:rPr>
        <w:t>Članak 18.</w:t>
      </w:r>
    </w:p>
    <w:p w:rsidR="00AA0E84" w:rsidRPr="00AA0E84" w:rsidRDefault="00AA0E84" w:rsidP="00AA0E84">
      <w:pPr>
        <w:spacing w:before="15" w:after="15" w:line="240" w:lineRule="auto"/>
        <w:ind w:left="105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t>Stupanjem na snagu ove Odluke prestaju važiti Odluka o komunalnom doprinosu (Službeni glasnik Općine Brckovljani broj 9/06.)</w:t>
      </w:r>
    </w:p>
    <w:p w:rsidR="00AA0E84" w:rsidRPr="00AA0E84" w:rsidRDefault="00AA0E84" w:rsidP="00AA0E84">
      <w:pPr>
        <w:spacing w:before="240" w:after="120" w:line="240" w:lineRule="atLeast"/>
        <w:ind w:left="1050" w:right="1050"/>
        <w:jc w:val="center"/>
        <w:rPr>
          <w:rFonts w:ascii="Arial" w:eastAsia="Times New Roman" w:hAnsi="Arial" w:cs="Arial"/>
          <w:b/>
          <w:bCs/>
          <w:color w:val="000000"/>
          <w:sz w:val="20"/>
          <w:szCs w:val="20"/>
        </w:rPr>
      </w:pPr>
      <w:r w:rsidRPr="00AA0E84">
        <w:rPr>
          <w:rFonts w:ascii="Arial" w:eastAsia="Times New Roman" w:hAnsi="Arial" w:cs="Arial"/>
          <w:b/>
          <w:bCs/>
          <w:color w:val="000000"/>
          <w:sz w:val="18"/>
          <w:szCs w:val="18"/>
        </w:rPr>
        <w:t>Članak 19.</w:t>
      </w:r>
    </w:p>
    <w:p w:rsidR="00AA0E84" w:rsidRPr="00AA0E84" w:rsidRDefault="00AA0E84" w:rsidP="00AA0E84">
      <w:pPr>
        <w:spacing w:before="15" w:after="15" w:line="240" w:lineRule="auto"/>
        <w:ind w:left="105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t>Ova Odluka stupa na snagu od 01.01.2008. godine.</w:t>
      </w:r>
    </w:p>
    <w:p w:rsidR="00AA0E84" w:rsidRPr="00AA0E84" w:rsidRDefault="00AA0E84" w:rsidP="00AA0E84">
      <w:pPr>
        <w:spacing w:before="15" w:after="15" w:line="240" w:lineRule="auto"/>
        <w:ind w:left="105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6350"/>
        <w:gridCol w:w="2722"/>
      </w:tblGrid>
      <w:tr w:rsidR="00AA0E84" w:rsidRPr="00AA0E84" w:rsidTr="00AA0E84">
        <w:trPr>
          <w:tblCellSpacing w:w="0" w:type="dxa"/>
        </w:trPr>
        <w:tc>
          <w:tcPr>
            <w:tcW w:w="3500" w:type="pct"/>
            <w:vAlign w:val="center"/>
            <w:hideMark/>
          </w:tcPr>
          <w:p w:rsidR="00AA0E84" w:rsidRPr="00AA0E84" w:rsidRDefault="00AA0E84" w:rsidP="00AA0E84">
            <w:pPr>
              <w:spacing w:after="0" w:line="240" w:lineRule="auto"/>
              <w:rPr>
                <w:rFonts w:ascii="Times New Roman" w:eastAsia="Times New Roman" w:hAnsi="Times New Roman" w:cs="Times New Roman"/>
                <w:sz w:val="24"/>
                <w:szCs w:val="24"/>
              </w:rPr>
            </w:pPr>
          </w:p>
        </w:tc>
        <w:tc>
          <w:tcPr>
            <w:tcW w:w="3750" w:type="dxa"/>
            <w:vAlign w:val="center"/>
            <w:hideMark/>
          </w:tcPr>
          <w:p w:rsidR="00AA0E84" w:rsidRPr="00AA0E84" w:rsidRDefault="00AA0E84" w:rsidP="00AA0E84">
            <w:pPr>
              <w:spacing w:before="100" w:beforeAutospacing="1" w:after="100" w:afterAutospacing="1" w:line="240" w:lineRule="auto"/>
              <w:jc w:val="center"/>
              <w:rPr>
                <w:rFonts w:ascii="Times New Roman" w:eastAsia="Times New Roman" w:hAnsi="Times New Roman" w:cs="Times New Roman"/>
                <w:sz w:val="24"/>
                <w:szCs w:val="24"/>
              </w:rPr>
            </w:pPr>
            <w:r w:rsidRPr="00AA0E84">
              <w:rPr>
                <w:rFonts w:ascii="Arial" w:eastAsia="Times New Roman" w:hAnsi="Arial" w:cs="Arial"/>
                <w:sz w:val="20"/>
                <w:szCs w:val="20"/>
              </w:rPr>
              <w:t>PREDSJEDNIK</w:t>
            </w:r>
            <w:r w:rsidRPr="00AA0E84">
              <w:rPr>
                <w:rFonts w:ascii="Arial" w:eastAsia="Times New Roman" w:hAnsi="Arial" w:cs="Arial"/>
                <w:sz w:val="20"/>
                <w:szCs w:val="20"/>
              </w:rPr>
              <w:br/>
              <w:t>OPĆINSKOG VIJEĆA</w:t>
            </w:r>
            <w:r w:rsidRPr="00AA0E84">
              <w:rPr>
                <w:rFonts w:ascii="Arial" w:eastAsia="Times New Roman" w:hAnsi="Arial" w:cs="Arial"/>
                <w:sz w:val="20"/>
                <w:szCs w:val="20"/>
              </w:rPr>
              <w:br/>
              <w:t>OPĆINE BRCKOVLJANI</w:t>
            </w:r>
            <w:r w:rsidRPr="00AA0E84">
              <w:rPr>
                <w:rFonts w:ascii="Arial" w:eastAsia="Times New Roman" w:hAnsi="Arial" w:cs="Arial"/>
                <w:sz w:val="20"/>
                <w:szCs w:val="20"/>
              </w:rPr>
              <w:br/>
            </w:r>
            <w:r w:rsidRPr="00AA0E84">
              <w:rPr>
                <w:rFonts w:ascii="Arial" w:eastAsia="Times New Roman" w:hAnsi="Arial" w:cs="Arial"/>
                <w:b/>
                <w:bCs/>
                <w:sz w:val="20"/>
                <w:szCs w:val="20"/>
              </w:rPr>
              <w:t>Milan Kralj</w:t>
            </w:r>
          </w:p>
        </w:tc>
      </w:tr>
    </w:tbl>
    <w:p w:rsidR="00AA0E84" w:rsidRPr="00AA0E84" w:rsidRDefault="00AA0E84" w:rsidP="00AA0E84">
      <w:pPr>
        <w:spacing w:before="15" w:after="15" w:line="240" w:lineRule="auto"/>
        <w:ind w:left="105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t>Klasa: 021-05/07-01/123</w:t>
      </w:r>
    </w:p>
    <w:p w:rsidR="00AA0E84" w:rsidRPr="00AA0E84" w:rsidRDefault="00AA0E84" w:rsidP="00AA0E84">
      <w:pPr>
        <w:spacing w:before="15" w:after="15" w:line="240" w:lineRule="auto"/>
        <w:ind w:left="105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t>Ur.broj: 238/04-07-05</w:t>
      </w:r>
    </w:p>
    <w:p w:rsidR="00AA0E84" w:rsidRPr="00AA0E84" w:rsidRDefault="00AA0E84" w:rsidP="00AA0E84">
      <w:pPr>
        <w:spacing w:before="15" w:after="15" w:line="240" w:lineRule="auto"/>
        <w:ind w:left="105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t>Dugo Selo, 14.12.2007.</w:t>
      </w:r>
    </w:p>
    <w:p w:rsidR="00AA0E84" w:rsidRPr="00AA0E84" w:rsidRDefault="00AA0E84" w:rsidP="00AA0E84">
      <w:pPr>
        <w:spacing w:before="15" w:after="15" w:line="240" w:lineRule="auto"/>
        <w:ind w:left="1050" w:right="1050"/>
        <w:jc w:val="both"/>
        <w:rPr>
          <w:rFonts w:ascii="Arial" w:eastAsia="Times New Roman" w:hAnsi="Arial" w:cs="Arial"/>
          <w:color w:val="000000"/>
          <w:sz w:val="20"/>
          <w:szCs w:val="20"/>
        </w:rPr>
      </w:pPr>
      <w:r w:rsidRPr="00AA0E84">
        <w:rPr>
          <w:rFonts w:ascii="Arial" w:eastAsia="Times New Roman" w:hAnsi="Arial" w:cs="Arial"/>
          <w:color w:val="000000"/>
          <w:sz w:val="20"/>
          <w:szCs w:val="20"/>
        </w:rPr>
        <w:t>               </w:t>
      </w:r>
    </w:p>
    <w:p w:rsidR="006E4B20" w:rsidRDefault="006E4B20"/>
    <w:sectPr w:rsidR="006E4B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AA0E84"/>
    <w:rsid w:val="006E4B20"/>
    <w:rsid w:val="00AA0E8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AA0E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AA0E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
    <w:name w:val="naslov_l"/>
    <w:basedOn w:val="Normal"/>
    <w:rsid w:val="00AA0E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AA0E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A0E84"/>
  </w:style>
  <w:style w:type="paragraph" w:styleId="NormalWeb">
    <w:name w:val="Normal (Web)"/>
    <w:basedOn w:val="Normal"/>
    <w:uiPriority w:val="99"/>
    <w:unhideWhenUsed/>
    <w:rsid w:val="00AA0E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530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1347</Words>
  <Characters>7680</Characters>
  <Application>Microsoft Office Word</Application>
  <DocSecurity>0</DocSecurity>
  <Lines>64</Lines>
  <Paragraphs>18</Paragraphs>
  <ScaleCrop>false</ScaleCrop>
  <Company/>
  <LinksUpToDate>false</LinksUpToDate>
  <CharactersWithSpaces>9009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2016-07-19T20:53:00Z</dcterms:created>
  <dcterms:modified xsi:type="dcterms:W3CDTF">2016-07-19T20:53:00Z</dcterms:modified>
</cp:coreProperties>
</file>